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663"/>
      </w:tblGrid>
      <w:tr w:rsidR="00C32CA2" w:rsidRPr="0055767A" w14:paraId="00965FC5" w14:textId="77777777" w:rsidTr="00324444">
        <w:trPr>
          <w:trHeight w:val="1128"/>
          <w:tblHeader/>
        </w:trPr>
        <w:tc>
          <w:tcPr>
            <w:tcW w:w="10065" w:type="dxa"/>
            <w:gridSpan w:val="2"/>
            <w:shd w:val="clear" w:color="auto" w:fill="D9D9D9"/>
            <w:vAlign w:val="center"/>
          </w:tcPr>
          <w:p w14:paraId="11B5A562" w14:textId="51FB8342" w:rsidR="00C32CA2" w:rsidRPr="0055767A" w:rsidRDefault="00C32CA2" w:rsidP="00C926F3">
            <w:pPr>
              <w:jc w:val="center"/>
              <w:rPr>
                <w:rFonts w:ascii="Arial" w:hAnsi="Arial" w:cs="Arial"/>
                <w:sz w:val="19"/>
                <w:szCs w:val="19"/>
              </w:rPr>
            </w:pPr>
            <w:r w:rsidRPr="0055767A">
              <w:rPr>
                <w:rFonts w:ascii="Arial" w:hAnsi="Arial" w:cs="Arial"/>
                <w:sz w:val="19"/>
                <w:szCs w:val="19"/>
                <w:lang w:val="es-CO"/>
              </w:rPr>
              <w:t xml:space="preserve">Proyecto de Resolución </w:t>
            </w:r>
            <w:r w:rsidR="00D95069" w:rsidRPr="0055767A">
              <w:rPr>
                <w:rFonts w:ascii="Arial" w:hAnsi="Arial" w:cs="Arial"/>
                <w:bCs/>
                <w:sz w:val="19"/>
                <w:szCs w:val="19"/>
              </w:rPr>
              <w:t>“Por la cual se adopta el Manual de Contratación de PROSPERIDAD SOCIAL y se derogan las Resoluciones No. 03048 del 12 de octubre de 2017, No. 00078 del 18 de enero de 2016, No 0515 del 12 de marzo de 2018, No. 2387 del 4 de agosto de 2017 y No. 0100 del 10 de enero de 2019.”</w:t>
            </w:r>
          </w:p>
        </w:tc>
      </w:tr>
      <w:tr w:rsidR="00C32CA2" w:rsidRPr="0055767A" w14:paraId="09C96B21" w14:textId="77777777" w:rsidTr="00324444">
        <w:trPr>
          <w:trHeight w:val="988"/>
        </w:trPr>
        <w:tc>
          <w:tcPr>
            <w:tcW w:w="3402" w:type="dxa"/>
            <w:vAlign w:val="center"/>
          </w:tcPr>
          <w:p w14:paraId="23E4C0C4" w14:textId="77777777" w:rsidR="00C32CA2" w:rsidRPr="0055767A" w:rsidRDefault="00C32CA2" w:rsidP="00324444">
            <w:pPr>
              <w:pStyle w:val="Sinespaciado"/>
              <w:jc w:val="both"/>
              <w:rPr>
                <w:rFonts w:ascii="Arial" w:hAnsi="Arial" w:cs="Arial"/>
                <w:b/>
                <w:sz w:val="19"/>
                <w:szCs w:val="19"/>
                <w:lang w:val="es-CO"/>
              </w:rPr>
            </w:pPr>
            <w:r w:rsidRPr="0055767A">
              <w:rPr>
                <w:rFonts w:ascii="Arial" w:hAnsi="Arial" w:cs="Arial"/>
                <w:b/>
                <w:sz w:val="19"/>
                <w:szCs w:val="19"/>
                <w:lang w:val="es-CO"/>
              </w:rPr>
              <w:t>Dependencia que desarrolla el proyecto de Norma (Escriba el nombre de la dependencia que liderará el proceso)</w:t>
            </w:r>
          </w:p>
        </w:tc>
        <w:tc>
          <w:tcPr>
            <w:tcW w:w="6663" w:type="dxa"/>
            <w:vAlign w:val="center"/>
          </w:tcPr>
          <w:p w14:paraId="19C3DB86" w14:textId="613AF5C7" w:rsidR="00C32CA2" w:rsidRPr="0055767A" w:rsidRDefault="00C32CA2" w:rsidP="00324444">
            <w:pPr>
              <w:pStyle w:val="Sinespaciado"/>
              <w:jc w:val="both"/>
              <w:rPr>
                <w:rFonts w:ascii="Arial" w:hAnsi="Arial" w:cs="Arial"/>
                <w:sz w:val="19"/>
                <w:szCs w:val="19"/>
                <w:lang w:val="es-CO"/>
              </w:rPr>
            </w:pPr>
            <w:r w:rsidRPr="0055767A">
              <w:rPr>
                <w:rFonts w:ascii="Arial" w:hAnsi="Arial" w:cs="Arial"/>
                <w:sz w:val="19"/>
                <w:szCs w:val="19"/>
                <w:lang w:val="es-CO"/>
              </w:rPr>
              <w:t xml:space="preserve">Subdirección de </w:t>
            </w:r>
            <w:r w:rsidR="00B4543F" w:rsidRPr="0055767A">
              <w:rPr>
                <w:rFonts w:ascii="Arial" w:hAnsi="Arial" w:cs="Arial"/>
                <w:sz w:val="19"/>
                <w:szCs w:val="19"/>
                <w:lang w:val="es-CO"/>
              </w:rPr>
              <w:t xml:space="preserve">Contratación </w:t>
            </w:r>
            <w:r w:rsidRPr="0055767A">
              <w:rPr>
                <w:rFonts w:ascii="Arial" w:hAnsi="Arial" w:cs="Arial"/>
                <w:sz w:val="19"/>
                <w:szCs w:val="19"/>
                <w:lang w:val="es-CO"/>
              </w:rPr>
              <w:t xml:space="preserve"> </w:t>
            </w:r>
          </w:p>
        </w:tc>
      </w:tr>
      <w:tr w:rsidR="00C32CA2" w:rsidRPr="0055767A" w14:paraId="381CAD6B" w14:textId="77777777" w:rsidTr="00324444">
        <w:tc>
          <w:tcPr>
            <w:tcW w:w="3402" w:type="dxa"/>
            <w:vAlign w:val="center"/>
          </w:tcPr>
          <w:p w14:paraId="0F1F78BE" w14:textId="77777777" w:rsidR="00C32CA2" w:rsidRPr="0055767A" w:rsidRDefault="00C32CA2" w:rsidP="00324444">
            <w:pPr>
              <w:pStyle w:val="Sinespaciado"/>
              <w:jc w:val="both"/>
              <w:rPr>
                <w:rFonts w:ascii="Arial" w:hAnsi="Arial" w:cs="Arial"/>
                <w:b/>
                <w:sz w:val="19"/>
                <w:szCs w:val="19"/>
                <w:lang w:val="es-CO"/>
              </w:rPr>
            </w:pPr>
            <w:r w:rsidRPr="0055767A">
              <w:rPr>
                <w:rFonts w:ascii="Arial" w:hAnsi="Arial" w:cs="Arial"/>
                <w:b/>
                <w:sz w:val="19"/>
                <w:szCs w:val="19"/>
                <w:lang w:val="es-CO"/>
              </w:rPr>
              <w:t xml:space="preserve">Proyecto de Decreto o Resolución: </w:t>
            </w:r>
          </w:p>
        </w:tc>
        <w:tc>
          <w:tcPr>
            <w:tcW w:w="6663" w:type="dxa"/>
            <w:vAlign w:val="center"/>
          </w:tcPr>
          <w:p w14:paraId="4567BF24" w14:textId="26E88C85" w:rsidR="00C32CA2" w:rsidRPr="0055767A" w:rsidRDefault="00C32CA2" w:rsidP="001537CE">
            <w:pPr>
              <w:jc w:val="both"/>
              <w:rPr>
                <w:rFonts w:ascii="Arial" w:hAnsi="Arial" w:cs="Arial"/>
                <w:b/>
                <w:sz w:val="19"/>
                <w:szCs w:val="19"/>
              </w:rPr>
            </w:pPr>
            <w:r w:rsidRPr="0055767A">
              <w:rPr>
                <w:rFonts w:ascii="Arial" w:hAnsi="Arial" w:cs="Arial"/>
                <w:sz w:val="19"/>
                <w:szCs w:val="19"/>
                <w:lang w:val="es-CO"/>
              </w:rPr>
              <w:t xml:space="preserve">Proyecto de Resolución </w:t>
            </w:r>
            <w:r w:rsidR="00B4543F" w:rsidRPr="0055767A">
              <w:rPr>
                <w:rFonts w:ascii="Arial" w:hAnsi="Arial" w:cs="Arial"/>
                <w:bCs/>
                <w:sz w:val="19"/>
                <w:szCs w:val="19"/>
              </w:rPr>
              <w:t>“Por la cual se adopta el Manual de Contratación de PROSPERIDAD SOCIAL y se derogan las Resoluciones No. 03048 del 12 de octubre de 2017, No. 00078 del 18 de enero de 2016, No 0515 del 12 de marzo de 2018, No. 2387 del 4 de agosto de 2017 y No. 0100 del 10 de enero de 2019.”</w:t>
            </w:r>
          </w:p>
        </w:tc>
      </w:tr>
    </w:tbl>
    <w:p w14:paraId="3F35C23B" w14:textId="77777777" w:rsidR="00C32CA2" w:rsidRPr="0055767A" w:rsidRDefault="00C32CA2" w:rsidP="00C32CA2">
      <w:pPr>
        <w:pStyle w:val="Sinespaciado"/>
        <w:jc w:val="both"/>
        <w:rPr>
          <w:rFonts w:ascii="Arial" w:hAnsi="Arial" w:cs="Arial"/>
          <w:sz w:val="19"/>
          <w:szCs w:val="19"/>
          <w:lang w:val="es-CO"/>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6679"/>
        <w:gridCol w:w="17"/>
      </w:tblGrid>
      <w:tr w:rsidR="0017643A" w:rsidRPr="0055767A" w14:paraId="47477467" w14:textId="77777777" w:rsidTr="00324444">
        <w:tc>
          <w:tcPr>
            <w:tcW w:w="3386" w:type="dxa"/>
            <w:tcBorders>
              <w:right w:val="single" w:sz="4" w:space="0" w:color="auto"/>
            </w:tcBorders>
            <w:vAlign w:val="center"/>
          </w:tcPr>
          <w:p w14:paraId="0C691B8B" w14:textId="77777777" w:rsidR="0017643A" w:rsidRPr="0055767A" w:rsidRDefault="0017643A" w:rsidP="0017643A">
            <w:pPr>
              <w:pStyle w:val="Sinespaciado"/>
              <w:jc w:val="both"/>
              <w:rPr>
                <w:rFonts w:ascii="Arial" w:hAnsi="Arial" w:cs="Arial"/>
                <w:b/>
                <w:sz w:val="19"/>
                <w:szCs w:val="19"/>
                <w:lang w:val="es-CO"/>
              </w:rPr>
            </w:pPr>
            <w:r w:rsidRPr="0055767A">
              <w:rPr>
                <w:rFonts w:ascii="Arial" w:hAnsi="Arial" w:cs="Arial"/>
                <w:b/>
                <w:sz w:val="19"/>
                <w:szCs w:val="19"/>
                <w:lang w:val="es-CO"/>
              </w:rPr>
              <w:t>1. Los antecedentes y las razones de oportunidad y conveniencia que justifican su expedición.</w:t>
            </w:r>
          </w:p>
          <w:p w14:paraId="37524943" w14:textId="77777777" w:rsidR="0017643A" w:rsidRPr="0055767A" w:rsidRDefault="0017643A" w:rsidP="0017643A">
            <w:pPr>
              <w:pStyle w:val="Sinespaciado"/>
              <w:jc w:val="both"/>
              <w:rPr>
                <w:rFonts w:ascii="Arial" w:hAnsi="Arial" w:cs="Arial"/>
                <w:b/>
                <w:sz w:val="19"/>
                <w:szCs w:val="19"/>
                <w:lang w:val="es-CO"/>
              </w:rPr>
            </w:pPr>
          </w:p>
        </w:tc>
        <w:tc>
          <w:tcPr>
            <w:tcW w:w="6696" w:type="dxa"/>
            <w:gridSpan w:val="2"/>
            <w:tcBorders>
              <w:top w:val="single" w:sz="4" w:space="0" w:color="auto"/>
              <w:left w:val="single" w:sz="4" w:space="0" w:color="auto"/>
              <w:bottom w:val="single" w:sz="4" w:space="0" w:color="auto"/>
              <w:right w:val="single" w:sz="4" w:space="0" w:color="auto"/>
            </w:tcBorders>
            <w:vAlign w:val="center"/>
          </w:tcPr>
          <w:p w14:paraId="7ACF3CBB" w14:textId="77777777" w:rsidR="0017643A" w:rsidRPr="0055767A" w:rsidRDefault="0017643A" w:rsidP="0017643A">
            <w:pPr>
              <w:widowControl w:val="0"/>
              <w:autoSpaceDE w:val="0"/>
              <w:autoSpaceDN w:val="0"/>
              <w:ind w:right="-91"/>
              <w:contextualSpacing/>
              <w:jc w:val="both"/>
              <w:rPr>
                <w:rFonts w:ascii="Arial" w:eastAsia="Calibri" w:hAnsi="Arial" w:cs="Arial"/>
                <w:sz w:val="19"/>
                <w:szCs w:val="19"/>
                <w:lang w:val="es-CO" w:eastAsia="es-CO"/>
              </w:rPr>
            </w:pPr>
            <w:r w:rsidRPr="0055767A">
              <w:rPr>
                <w:rFonts w:ascii="Arial" w:eastAsia="Calibri" w:hAnsi="Arial" w:cs="Arial"/>
                <w:sz w:val="19"/>
                <w:szCs w:val="19"/>
                <w:lang w:val="es-CO" w:eastAsia="es-CO"/>
              </w:rPr>
              <w:t xml:space="preserve"> </w:t>
            </w:r>
          </w:p>
          <w:p w14:paraId="1EF3746A" w14:textId="38C2DB41" w:rsidR="00D95069" w:rsidRPr="0055767A" w:rsidRDefault="009D70A9" w:rsidP="00D95069">
            <w:pPr>
              <w:widowControl w:val="0"/>
              <w:autoSpaceDE w:val="0"/>
              <w:autoSpaceDN w:val="0"/>
              <w:ind w:right="-91"/>
              <w:contextualSpacing/>
              <w:jc w:val="both"/>
              <w:rPr>
                <w:rFonts w:ascii="Arial" w:eastAsia="Calibri" w:hAnsi="Arial" w:cs="Arial"/>
                <w:sz w:val="19"/>
                <w:szCs w:val="19"/>
                <w:lang w:val="es-CO" w:eastAsia="es-CO"/>
              </w:rPr>
            </w:pPr>
            <w:r w:rsidRPr="0055767A">
              <w:rPr>
                <w:rFonts w:ascii="Arial" w:eastAsia="Calibri" w:hAnsi="Arial" w:cs="Arial"/>
                <w:sz w:val="19"/>
                <w:szCs w:val="19"/>
                <w:lang w:val="es-CO" w:eastAsia="es-CO"/>
              </w:rPr>
              <w:t>D</w:t>
            </w:r>
            <w:r w:rsidR="00D95069" w:rsidRPr="0055767A">
              <w:rPr>
                <w:rFonts w:ascii="Arial" w:eastAsia="Calibri" w:hAnsi="Arial" w:cs="Arial"/>
                <w:sz w:val="19"/>
                <w:szCs w:val="19"/>
                <w:lang w:val="es-CO" w:eastAsia="es-CO"/>
              </w:rPr>
              <w:t>e conformidad con el artículo 23 de la Ley 80 de 1993, las actuaciones de quienes intervengan en la contratación estatal se desarrollarán con arreglo a los principios de transparencia, economía y responsabilidad y de conformidad con los postulados que rigen la función administrativa. Igualmente, se aplicarán en las mismas las normas que regulan la conducta de los servidores públicos, las reglas de interpretación de la contratación, los principios generales del derecho y los particulares del derecho administrativo.</w:t>
            </w:r>
          </w:p>
          <w:p w14:paraId="26621C30" w14:textId="77777777" w:rsidR="009D70A9" w:rsidRPr="0055767A" w:rsidRDefault="009D70A9" w:rsidP="00D95069">
            <w:pPr>
              <w:widowControl w:val="0"/>
              <w:autoSpaceDE w:val="0"/>
              <w:autoSpaceDN w:val="0"/>
              <w:ind w:right="-91"/>
              <w:contextualSpacing/>
              <w:jc w:val="both"/>
              <w:rPr>
                <w:rFonts w:ascii="Arial" w:eastAsia="Calibri" w:hAnsi="Arial" w:cs="Arial"/>
                <w:sz w:val="19"/>
                <w:szCs w:val="19"/>
                <w:lang w:val="es-CO" w:eastAsia="es-CO"/>
              </w:rPr>
            </w:pPr>
          </w:p>
          <w:p w14:paraId="7CC5BFE6" w14:textId="0BD04A51" w:rsidR="00D95069" w:rsidRPr="0055767A" w:rsidRDefault="009D70A9" w:rsidP="00D95069">
            <w:pPr>
              <w:widowControl w:val="0"/>
              <w:autoSpaceDE w:val="0"/>
              <w:autoSpaceDN w:val="0"/>
              <w:ind w:right="-91"/>
              <w:contextualSpacing/>
              <w:jc w:val="both"/>
              <w:rPr>
                <w:rFonts w:ascii="Arial" w:eastAsia="Calibri" w:hAnsi="Arial" w:cs="Arial"/>
                <w:sz w:val="19"/>
                <w:szCs w:val="19"/>
                <w:lang w:val="es-CO" w:eastAsia="es-CO"/>
              </w:rPr>
            </w:pPr>
            <w:r w:rsidRPr="0055767A">
              <w:rPr>
                <w:rFonts w:ascii="Arial" w:eastAsia="Calibri" w:hAnsi="Arial" w:cs="Arial"/>
                <w:sz w:val="19"/>
                <w:szCs w:val="19"/>
                <w:lang w:val="es-CO" w:eastAsia="es-CO"/>
              </w:rPr>
              <w:t>E</w:t>
            </w:r>
            <w:r w:rsidR="00D95069" w:rsidRPr="0055767A">
              <w:rPr>
                <w:rFonts w:ascii="Arial" w:eastAsia="Calibri" w:hAnsi="Arial" w:cs="Arial"/>
                <w:sz w:val="19"/>
                <w:szCs w:val="19"/>
                <w:lang w:val="es-CO" w:eastAsia="es-CO"/>
              </w:rPr>
              <w:t>l artículo 2.2.1.2.5.3 del Decreto 1082 de 2015 dispone: “Las Entidades Estatales deben contar con un manual de contratación, el cual debe cumplir con los lineamientos que para el efecto señale Colombia Compra Eficiente”.</w:t>
            </w:r>
          </w:p>
          <w:p w14:paraId="50BFCD6E" w14:textId="77777777" w:rsidR="009D70A9" w:rsidRPr="0055767A" w:rsidRDefault="009D70A9" w:rsidP="00D95069">
            <w:pPr>
              <w:widowControl w:val="0"/>
              <w:autoSpaceDE w:val="0"/>
              <w:autoSpaceDN w:val="0"/>
              <w:ind w:right="-91"/>
              <w:contextualSpacing/>
              <w:jc w:val="both"/>
              <w:rPr>
                <w:rFonts w:ascii="Arial" w:eastAsia="Calibri" w:hAnsi="Arial" w:cs="Arial"/>
                <w:sz w:val="19"/>
                <w:szCs w:val="19"/>
                <w:lang w:val="es-CO" w:eastAsia="es-CO"/>
              </w:rPr>
            </w:pPr>
          </w:p>
          <w:p w14:paraId="7E214D2B" w14:textId="4FA8C05F" w:rsidR="00D95069" w:rsidRPr="0055767A" w:rsidRDefault="00D95069" w:rsidP="00D95069">
            <w:pPr>
              <w:widowControl w:val="0"/>
              <w:autoSpaceDE w:val="0"/>
              <w:autoSpaceDN w:val="0"/>
              <w:ind w:right="-91"/>
              <w:contextualSpacing/>
              <w:jc w:val="both"/>
              <w:rPr>
                <w:rFonts w:ascii="Arial" w:eastAsia="Calibri" w:hAnsi="Arial" w:cs="Arial"/>
                <w:sz w:val="19"/>
                <w:szCs w:val="19"/>
                <w:lang w:val="es-CO" w:eastAsia="es-CO"/>
              </w:rPr>
            </w:pPr>
            <w:r w:rsidRPr="0055767A">
              <w:rPr>
                <w:rFonts w:ascii="Arial" w:eastAsia="Calibri" w:hAnsi="Arial" w:cs="Arial"/>
                <w:sz w:val="19"/>
                <w:szCs w:val="19"/>
                <w:lang w:val="es-CO" w:eastAsia="es-CO"/>
              </w:rPr>
              <w:t>PROSPERIDAD SOCIAL mediante Resolución No. 00078 del 18 de enero de 2016, adoptó su Manual de Contratación, derogando las resoluciones anteriores, atendiendo los</w:t>
            </w:r>
            <w:r w:rsidR="009D70A9" w:rsidRPr="0055767A">
              <w:rPr>
                <w:rFonts w:ascii="Arial" w:eastAsia="Calibri" w:hAnsi="Arial" w:cs="Arial"/>
                <w:sz w:val="19"/>
                <w:szCs w:val="19"/>
                <w:lang w:val="es-CO" w:eastAsia="es-CO"/>
              </w:rPr>
              <w:t xml:space="preserve"> </w:t>
            </w:r>
            <w:r w:rsidRPr="0055767A">
              <w:rPr>
                <w:rFonts w:ascii="Arial" w:eastAsia="Calibri" w:hAnsi="Arial" w:cs="Arial"/>
                <w:sz w:val="19"/>
                <w:szCs w:val="19"/>
                <w:lang w:val="es-CO" w:eastAsia="es-CO"/>
              </w:rPr>
              <w:t>parámetros, principios y reglas establecidas por la Constitución Política, y las demás normas que regulan y reglamentan el ejercicio de la actividad contractual.</w:t>
            </w:r>
          </w:p>
          <w:p w14:paraId="43ED8742" w14:textId="77777777" w:rsidR="009D70A9" w:rsidRPr="0055767A" w:rsidRDefault="009D70A9" w:rsidP="00D95069">
            <w:pPr>
              <w:widowControl w:val="0"/>
              <w:autoSpaceDE w:val="0"/>
              <w:autoSpaceDN w:val="0"/>
              <w:ind w:right="-91"/>
              <w:contextualSpacing/>
              <w:jc w:val="both"/>
              <w:rPr>
                <w:rFonts w:ascii="Arial" w:eastAsia="Calibri" w:hAnsi="Arial" w:cs="Arial"/>
                <w:sz w:val="19"/>
                <w:szCs w:val="19"/>
                <w:lang w:val="es-CO" w:eastAsia="es-CO"/>
              </w:rPr>
            </w:pPr>
          </w:p>
          <w:p w14:paraId="5E9A5D69" w14:textId="60BB231B" w:rsidR="00D95069" w:rsidRPr="0055767A" w:rsidRDefault="009D70A9" w:rsidP="00D95069">
            <w:pPr>
              <w:widowControl w:val="0"/>
              <w:autoSpaceDE w:val="0"/>
              <w:autoSpaceDN w:val="0"/>
              <w:ind w:right="-91"/>
              <w:contextualSpacing/>
              <w:jc w:val="both"/>
              <w:rPr>
                <w:rFonts w:ascii="Arial" w:eastAsia="Calibri" w:hAnsi="Arial" w:cs="Arial"/>
                <w:sz w:val="19"/>
                <w:szCs w:val="19"/>
                <w:lang w:val="es-CO" w:eastAsia="es-CO"/>
              </w:rPr>
            </w:pPr>
            <w:r w:rsidRPr="0055767A">
              <w:rPr>
                <w:rFonts w:ascii="Arial" w:eastAsia="Calibri" w:hAnsi="Arial" w:cs="Arial"/>
                <w:sz w:val="19"/>
                <w:szCs w:val="19"/>
                <w:lang w:val="es-CO" w:eastAsia="es-CO"/>
              </w:rPr>
              <w:t>D</w:t>
            </w:r>
            <w:r w:rsidR="00D95069" w:rsidRPr="0055767A">
              <w:rPr>
                <w:rFonts w:ascii="Arial" w:eastAsia="Calibri" w:hAnsi="Arial" w:cs="Arial"/>
                <w:sz w:val="19"/>
                <w:szCs w:val="19"/>
                <w:lang w:val="es-CO" w:eastAsia="es-CO"/>
              </w:rPr>
              <w:t>esde la adopción del Manual indicado, se han presentado varios cambios normativos y lineamientos recientes impartidos por Colombia Compra Eficiente en materia de contratación estatal, modificando los diferentes componentes de los procesos de contratación.</w:t>
            </w:r>
          </w:p>
          <w:p w14:paraId="12888733" w14:textId="77777777" w:rsidR="009D70A9" w:rsidRPr="0055767A" w:rsidRDefault="009D70A9" w:rsidP="00D95069">
            <w:pPr>
              <w:widowControl w:val="0"/>
              <w:autoSpaceDE w:val="0"/>
              <w:autoSpaceDN w:val="0"/>
              <w:ind w:right="-91"/>
              <w:contextualSpacing/>
              <w:jc w:val="both"/>
              <w:rPr>
                <w:rFonts w:ascii="Arial" w:eastAsia="Calibri" w:hAnsi="Arial" w:cs="Arial"/>
                <w:sz w:val="19"/>
                <w:szCs w:val="19"/>
                <w:lang w:val="es-CO" w:eastAsia="es-CO"/>
              </w:rPr>
            </w:pPr>
          </w:p>
          <w:p w14:paraId="62FE6979" w14:textId="00EDCE31" w:rsidR="00D95069" w:rsidRPr="0055767A" w:rsidRDefault="009D70A9" w:rsidP="00D95069">
            <w:pPr>
              <w:widowControl w:val="0"/>
              <w:autoSpaceDE w:val="0"/>
              <w:autoSpaceDN w:val="0"/>
              <w:ind w:right="-91"/>
              <w:contextualSpacing/>
              <w:jc w:val="both"/>
              <w:rPr>
                <w:rFonts w:ascii="Arial" w:eastAsia="Calibri" w:hAnsi="Arial" w:cs="Arial"/>
                <w:sz w:val="19"/>
                <w:szCs w:val="19"/>
                <w:lang w:val="es-CO" w:eastAsia="es-CO"/>
              </w:rPr>
            </w:pPr>
            <w:r w:rsidRPr="0055767A">
              <w:rPr>
                <w:rFonts w:ascii="Arial" w:eastAsia="Calibri" w:hAnsi="Arial" w:cs="Arial"/>
                <w:sz w:val="19"/>
                <w:szCs w:val="19"/>
                <w:lang w:val="es-CO" w:eastAsia="es-CO"/>
              </w:rPr>
              <w:t xml:space="preserve">Luego entonces, </w:t>
            </w:r>
            <w:r w:rsidR="00D95069" w:rsidRPr="0055767A">
              <w:rPr>
                <w:rFonts w:ascii="Arial" w:eastAsia="Calibri" w:hAnsi="Arial" w:cs="Arial"/>
                <w:sz w:val="19"/>
                <w:szCs w:val="19"/>
                <w:lang w:val="es-CO" w:eastAsia="es-CO"/>
              </w:rPr>
              <w:t>en aras de la mejora continua que exige la gestión contractual al interior de PROSPERIDAD SOCIAL se hace necesario adoptar un nuevo Manual Contratación para la entidad.</w:t>
            </w:r>
          </w:p>
          <w:p w14:paraId="4F8F4B45" w14:textId="33273403" w:rsidR="00D95069" w:rsidRPr="0055767A" w:rsidRDefault="00D95069" w:rsidP="0017643A">
            <w:pPr>
              <w:widowControl w:val="0"/>
              <w:autoSpaceDE w:val="0"/>
              <w:autoSpaceDN w:val="0"/>
              <w:ind w:right="-91"/>
              <w:contextualSpacing/>
              <w:jc w:val="both"/>
              <w:rPr>
                <w:rFonts w:ascii="Arial" w:eastAsia="Calibri" w:hAnsi="Arial" w:cs="Arial"/>
                <w:sz w:val="19"/>
                <w:szCs w:val="19"/>
                <w:lang w:val="es-CO" w:eastAsia="es-CO"/>
              </w:rPr>
            </w:pPr>
          </w:p>
        </w:tc>
      </w:tr>
      <w:tr w:rsidR="00F25634" w:rsidRPr="0055767A" w14:paraId="6C1A774C" w14:textId="77777777" w:rsidTr="00324444">
        <w:tc>
          <w:tcPr>
            <w:tcW w:w="3386" w:type="dxa"/>
            <w:vAlign w:val="center"/>
          </w:tcPr>
          <w:p w14:paraId="1B496132" w14:textId="77777777" w:rsidR="00F25634" w:rsidRPr="0055767A" w:rsidRDefault="00F25634" w:rsidP="00F25634">
            <w:pPr>
              <w:pStyle w:val="Sinespaciado"/>
              <w:jc w:val="both"/>
              <w:rPr>
                <w:rFonts w:ascii="Arial" w:hAnsi="Arial" w:cs="Arial"/>
                <w:b/>
                <w:sz w:val="19"/>
                <w:szCs w:val="19"/>
                <w:lang w:val="es-CO"/>
              </w:rPr>
            </w:pPr>
            <w:r w:rsidRPr="0055767A">
              <w:rPr>
                <w:rFonts w:ascii="Arial" w:hAnsi="Arial" w:cs="Arial"/>
                <w:b/>
                <w:sz w:val="19"/>
                <w:szCs w:val="19"/>
                <w:lang w:val="es-CO"/>
              </w:rPr>
              <w:t>1.1 Las normas que otorgan la competencia para la expedición del correspondiente acto.</w:t>
            </w:r>
          </w:p>
        </w:tc>
        <w:tc>
          <w:tcPr>
            <w:tcW w:w="6696" w:type="dxa"/>
            <w:gridSpan w:val="2"/>
            <w:tcBorders>
              <w:top w:val="single" w:sz="4" w:space="0" w:color="auto"/>
            </w:tcBorders>
            <w:vAlign w:val="center"/>
          </w:tcPr>
          <w:p w14:paraId="69228378" w14:textId="2CD2E2D2" w:rsidR="00F25634" w:rsidRPr="0055767A" w:rsidRDefault="00B4543F" w:rsidP="00F25634">
            <w:pPr>
              <w:pStyle w:val="Sinespaciado"/>
              <w:ind w:right="-91"/>
              <w:contextualSpacing/>
              <w:jc w:val="both"/>
              <w:rPr>
                <w:rFonts w:ascii="Arial" w:hAnsi="Arial" w:cs="Arial"/>
                <w:sz w:val="19"/>
                <w:szCs w:val="19"/>
                <w:lang w:val="es-CO"/>
              </w:rPr>
            </w:pPr>
            <w:r w:rsidRPr="0055767A">
              <w:rPr>
                <w:rFonts w:ascii="Arial" w:hAnsi="Arial" w:cs="Arial"/>
                <w:sz w:val="19"/>
                <w:szCs w:val="19"/>
              </w:rPr>
              <w:t>En uso de las facultades constitucionales y legales, en especial las conferidas por los artículos 208, 209 y 211 de la Constitución Política de Colombia, el Decreto 2094 de 2016, y demás normas concordantes.</w:t>
            </w:r>
          </w:p>
        </w:tc>
      </w:tr>
      <w:tr w:rsidR="00F25634" w:rsidRPr="0055767A" w14:paraId="09215F0B" w14:textId="77777777" w:rsidTr="00324444">
        <w:tc>
          <w:tcPr>
            <w:tcW w:w="3386" w:type="dxa"/>
            <w:vAlign w:val="center"/>
          </w:tcPr>
          <w:p w14:paraId="4E5F7D3E" w14:textId="77777777" w:rsidR="00F25634" w:rsidRPr="0055767A" w:rsidRDefault="00F25634" w:rsidP="00F25634">
            <w:pPr>
              <w:pStyle w:val="Sinespaciado"/>
              <w:jc w:val="both"/>
              <w:rPr>
                <w:rFonts w:ascii="Arial" w:hAnsi="Arial" w:cs="Arial"/>
                <w:b/>
                <w:sz w:val="19"/>
                <w:szCs w:val="19"/>
                <w:lang w:val="es-CO"/>
              </w:rPr>
            </w:pPr>
            <w:r w:rsidRPr="0055767A">
              <w:rPr>
                <w:rFonts w:ascii="Arial" w:hAnsi="Arial" w:cs="Arial"/>
                <w:b/>
                <w:sz w:val="19"/>
                <w:szCs w:val="19"/>
                <w:lang w:val="es-CO"/>
              </w:rPr>
              <w:t>1.2 La vigencia de la ley o norma reglamentada o desarrollada.</w:t>
            </w:r>
          </w:p>
        </w:tc>
        <w:tc>
          <w:tcPr>
            <w:tcW w:w="6696" w:type="dxa"/>
            <w:gridSpan w:val="2"/>
            <w:vAlign w:val="center"/>
          </w:tcPr>
          <w:p w14:paraId="40549D3F" w14:textId="5BDEEE71" w:rsidR="00F25634" w:rsidRPr="0055767A" w:rsidRDefault="00F25634" w:rsidP="00F25634">
            <w:pPr>
              <w:pStyle w:val="Sinespaciado"/>
              <w:jc w:val="both"/>
              <w:rPr>
                <w:rFonts w:ascii="Arial" w:hAnsi="Arial" w:cs="Arial"/>
                <w:sz w:val="19"/>
                <w:szCs w:val="19"/>
                <w:lang w:val="es-CO"/>
              </w:rPr>
            </w:pPr>
            <w:r w:rsidRPr="0055767A">
              <w:rPr>
                <w:rFonts w:ascii="Arial" w:hAnsi="Arial" w:cs="Arial"/>
                <w:sz w:val="19"/>
                <w:szCs w:val="19"/>
                <w:lang w:val="es-CO"/>
              </w:rPr>
              <w:t xml:space="preserve">La presente resolución rige a partir de la fecha de su </w:t>
            </w:r>
            <w:r w:rsidR="00B4543F" w:rsidRPr="0055767A">
              <w:rPr>
                <w:rFonts w:ascii="Arial" w:hAnsi="Arial" w:cs="Arial"/>
                <w:sz w:val="19"/>
                <w:szCs w:val="19"/>
                <w:lang w:val="es-CO"/>
              </w:rPr>
              <w:t>publicación</w:t>
            </w:r>
            <w:r w:rsidRPr="0055767A">
              <w:rPr>
                <w:rFonts w:ascii="Arial" w:hAnsi="Arial" w:cs="Arial"/>
                <w:sz w:val="19"/>
                <w:szCs w:val="19"/>
                <w:lang w:val="es-CO"/>
              </w:rPr>
              <w:t>.</w:t>
            </w:r>
          </w:p>
        </w:tc>
      </w:tr>
      <w:tr w:rsidR="00F25634" w:rsidRPr="0055767A" w14:paraId="398E7CDA" w14:textId="77777777" w:rsidTr="00324444">
        <w:tc>
          <w:tcPr>
            <w:tcW w:w="3386" w:type="dxa"/>
            <w:vAlign w:val="center"/>
          </w:tcPr>
          <w:p w14:paraId="6047E4B6" w14:textId="77777777" w:rsidR="00F25634" w:rsidRPr="0055767A" w:rsidRDefault="00F25634" w:rsidP="00F25634">
            <w:pPr>
              <w:pStyle w:val="Sinespaciado"/>
              <w:jc w:val="both"/>
              <w:rPr>
                <w:rFonts w:ascii="Arial" w:hAnsi="Arial" w:cs="Arial"/>
                <w:b/>
                <w:sz w:val="19"/>
                <w:szCs w:val="19"/>
                <w:lang w:val="es-CO"/>
              </w:rPr>
            </w:pPr>
            <w:r w:rsidRPr="0055767A">
              <w:rPr>
                <w:rFonts w:ascii="Arial" w:hAnsi="Arial" w:cs="Arial"/>
                <w:b/>
                <w:sz w:val="19"/>
                <w:szCs w:val="19"/>
                <w:lang w:val="es-CO"/>
              </w:rPr>
              <w:t>1.3 Las disposiciones derogadas, subrogadas, modificadas, adicionadas o sustituidas, si alguno de estos efectos se produce con la expedición del respectivo acto.</w:t>
            </w:r>
          </w:p>
        </w:tc>
        <w:tc>
          <w:tcPr>
            <w:tcW w:w="6696" w:type="dxa"/>
            <w:gridSpan w:val="2"/>
            <w:vAlign w:val="center"/>
          </w:tcPr>
          <w:p w14:paraId="411E1167" w14:textId="5A25E630" w:rsidR="00F25634" w:rsidRPr="0055767A" w:rsidRDefault="00F25634" w:rsidP="00F25634">
            <w:pPr>
              <w:jc w:val="both"/>
              <w:rPr>
                <w:rFonts w:ascii="Arial" w:hAnsi="Arial" w:cs="Arial"/>
                <w:sz w:val="19"/>
                <w:szCs w:val="19"/>
                <w:lang w:val="es-CO"/>
              </w:rPr>
            </w:pPr>
            <w:r w:rsidRPr="0055767A">
              <w:rPr>
                <w:rFonts w:ascii="Arial" w:hAnsi="Arial" w:cs="Arial"/>
                <w:sz w:val="19"/>
                <w:szCs w:val="19"/>
              </w:rPr>
              <w:t xml:space="preserve">Rige a partir de la fecha de su </w:t>
            </w:r>
            <w:r w:rsidR="00B4543F" w:rsidRPr="0055767A">
              <w:rPr>
                <w:rFonts w:ascii="Arial" w:hAnsi="Arial" w:cs="Arial"/>
                <w:sz w:val="19"/>
                <w:szCs w:val="19"/>
              </w:rPr>
              <w:t>publicación</w:t>
            </w:r>
            <w:r w:rsidRPr="0055767A">
              <w:rPr>
                <w:rFonts w:ascii="Arial" w:hAnsi="Arial" w:cs="Arial"/>
                <w:sz w:val="19"/>
                <w:szCs w:val="19"/>
              </w:rPr>
              <w:t xml:space="preserve"> y </w:t>
            </w:r>
            <w:r w:rsidR="00B4543F" w:rsidRPr="0055767A">
              <w:rPr>
                <w:rFonts w:ascii="Arial" w:hAnsi="Arial" w:cs="Arial"/>
                <w:bCs/>
                <w:sz w:val="19"/>
                <w:szCs w:val="19"/>
              </w:rPr>
              <w:t>deroga las Resoluciones No. 03048 del 12 de octubre de 2017, No. 00078 del 18 de enero de 2016, No 0515 del 12 de marzo de 2018, No. 2387 del 4 de agosto de 2017 y No. 0100 del 10 de enero de 2019.</w:t>
            </w:r>
          </w:p>
        </w:tc>
      </w:tr>
      <w:tr w:rsidR="00F25634" w:rsidRPr="0055767A" w14:paraId="74FAACBB" w14:textId="77777777" w:rsidTr="00324444">
        <w:tc>
          <w:tcPr>
            <w:tcW w:w="3386" w:type="dxa"/>
            <w:vAlign w:val="center"/>
          </w:tcPr>
          <w:p w14:paraId="2A588845" w14:textId="77777777" w:rsidR="00F25634" w:rsidRPr="0055767A" w:rsidRDefault="00F25634" w:rsidP="00F25634">
            <w:pPr>
              <w:pStyle w:val="Sinespaciado"/>
              <w:jc w:val="both"/>
              <w:rPr>
                <w:rFonts w:ascii="Arial" w:hAnsi="Arial" w:cs="Arial"/>
                <w:b/>
                <w:sz w:val="19"/>
                <w:szCs w:val="19"/>
                <w:lang w:val="es-CO"/>
              </w:rPr>
            </w:pPr>
            <w:r w:rsidRPr="0055767A">
              <w:rPr>
                <w:rFonts w:ascii="Arial" w:hAnsi="Arial" w:cs="Arial"/>
                <w:b/>
                <w:sz w:val="19"/>
                <w:szCs w:val="19"/>
                <w:lang w:val="es-CO"/>
              </w:rPr>
              <w:t>2. El ámbito de aplicación del respectivo acto y los sujetos a quienes va dirigido</w:t>
            </w:r>
          </w:p>
        </w:tc>
        <w:tc>
          <w:tcPr>
            <w:tcW w:w="6696" w:type="dxa"/>
            <w:gridSpan w:val="2"/>
            <w:vAlign w:val="center"/>
          </w:tcPr>
          <w:p w14:paraId="21708713" w14:textId="77777777" w:rsidR="00F25634" w:rsidRPr="0055767A" w:rsidRDefault="00F25634" w:rsidP="00F25634">
            <w:pPr>
              <w:pStyle w:val="Sinespaciado"/>
              <w:jc w:val="both"/>
              <w:rPr>
                <w:rFonts w:ascii="Arial" w:hAnsi="Arial" w:cs="Arial"/>
                <w:sz w:val="19"/>
                <w:szCs w:val="19"/>
                <w:lang w:val="es-CO"/>
              </w:rPr>
            </w:pPr>
            <w:r w:rsidRPr="0055767A">
              <w:rPr>
                <w:rFonts w:ascii="Arial" w:hAnsi="Arial" w:cs="Arial"/>
                <w:bCs/>
                <w:sz w:val="19"/>
                <w:szCs w:val="19"/>
              </w:rPr>
              <w:t xml:space="preserve">La </w:t>
            </w:r>
            <w:r w:rsidRPr="0055767A">
              <w:rPr>
                <w:rFonts w:ascii="Arial" w:hAnsi="Arial" w:cs="Arial"/>
                <w:sz w:val="19"/>
                <w:szCs w:val="19"/>
                <w:lang w:val="es-CO"/>
              </w:rPr>
              <w:t>presente Resolución rige para todos los servidores públicos del Departamento Administrativo para la Prosperidad Social.</w:t>
            </w:r>
          </w:p>
        </w:tc>
      </w:tr>
      <w:tr w:rsidR="00F25634" w:rsidRPr="0055767A" w14:paraId="62412227" w14:textId="77777777" w:rsidTr="00324444">
        <w:trPr>
          <w:trHeight w:val="942"/>
        </w:trPr>
        <w:tc>
          <w:tcPr>
            <w:tcW w:w="3386" w:type="dxa"/>
            <w:shd w:val="clear" w:color="auto" w:fill="auto"/>
            <w:vAlign w:val="center"/>
          </w:tcPr>
          <w:p w14:paraId="4FC1710D" w14:textId="77777777" w:rsidR="00F25634" w:rsidRPr="0055767A" w:rsidRDefault="00F25634" w:rsidP="00F25634">
            <w:pPr>
              <w:pStyle w:val="Sinespaciado"/>
              <w:jc w:val="both"/>
              <w:rPr>
                <w:rFonts w:ascii="Arial" w:hAnsi="Arial" w:cs="Arial"/>
                <w:b/>
                <w:sz w:val="19"/>
                <w:szCs w:val="19"/>
                <w:lang w:val="es-CO"/>
              </w:rPr>
            </w:pPr>
            <w:r w:rsidRPr="0055767A">
              <w:rPr>
                <w:rFonts w:ascii="Arial" w:hAnsi="Arial" w:cs="Arial"/>
                <w:b/>
                <w:sz w:val="19"/>
                <w:szCs w:val="19"/>
                <w:lang w:val="es-CO"/>
              </w:rPr>
              <w:lastRenderedPageBreak/>
              <w:t xml:space="preserve">3. La viabilidad jurídica, que deberá contar con el visto bueno de la oficina jurídica de la entidad o la dependencia que haga sus veces </w:t>
            </w:r>
          </w:p>
        </w:tc>
        <w:tc>
          <w:tcPr>
            <w:tcW w:w="6696" w:type="dxa"/>
            <w:gridSpan w:val="2"/>
            <w:vAlign w:val="center"/>
          </w:tcPr>
          <w:p w14:paraId="4B1AE7F3" w14:textId="7539A83B" w:rsidR="00F25634" w:rsidRPr="0055767A" w:rsidRDefault="00F25634" w:rsidP="00F25634">
            <w:pPr>
              <w:pStyle w:val="Sinespaciado"/>
              <w:jc w:val="both"/>
              <w:rPr>
                <w:rFonts w:ascii="Arial" w:hAnsi="Arial" w:cs="Arial"/>
                <w:sz w:val="19"/>
                <w:szCs w:val="19"/>
                <w:lang w:val="es-CO"/>
              </w:rPr>
            </w:pPr>
            <w:r w:rsidRPr="0055767A">
              <w:rPr>
                <w:rFonts w:ascii="Arial" w:hAnsi="Arial" w:cs="Arial"/>
                <w:sz w:val="19"/>
                <w:szCs w:val="19"/>
                <w:lang w:val="es-CO"/>
              </w:rPr>
              <w:t xml:space="preserve">Suscribe la </w:t>
            </w:r>
            <w:proofErr w:type="gramStart"/>
            <w:r w:rsidRPr="0055767A">
              <w:rPr>
                <w:rFonts w:ascii="Arial" w:hAnsi="Arial" w:cs="Arial"/>
                <w:sz w:val="19"/>
                <w:szCs w:val="19"/>
                <w:lang w:val="es-CO"/>
              </w:rPr>
              <w:t>Directora</w:t>
            </w:r>
            <w:proofErr w:type="gramEnd"/>
            <w:r w:rsidRPr="0055767A">
              <w:rPr>
                <w:rFonts w:ascii="Arial" w:hAnsi="Arial" w:cs="Arial"/>
                <w:sz w:val="19"/>
                <w:szCs w:val="19"/>
                <w:lang w:val="es-CO"/>
              </w:rPr>
              <w:t xml:space="preserve"> del Departamento Administrativo para la Prosperidad Social con visto bueno de la Secretaria General y la Subdirección de</w:t>
            </w:r>
            <w:r w:rsidR="00A548B4" w:rsidRPr="0055767A">
              <w:rPr>
                <w:rFonts w:ascii="Arial" w:hAnsi="Arial" w:cs="Arial"/>
                <w:sz w:val="19"/>
                <w:szCs w:val="19"/>
                <w:lang w:val="es-CO"/>
              </w:rPr>
              <w:t xml:space="preserve"> Contratación</w:t>
            </w:r>
            <w:r w:rsidRPr="0055767A">
              <w:rPr>
                <w:rFonts w:ascii="Arial" w:hAnsi="Arial" w:cs="Arial"/>
                <w:sz w:val="19"/>
                <w:szCs w:val="19"/>
                <w:lang w:val="es-CO"/>
              </w:rPr>
              <w:t>.</w:t>
            </w:r>
          </w:p>
        </w:tc>
      </w:tr>
      <w:tr w:rsidR="00F25634" w:rsidRPr="0055767A" w14:paraId="316A641C" w14:textId="77777777" w:rsidTr="00324444">
        <w:trPr>
          <w:trHeight w:val="1180"/>
        </w:trPr>
        <w:tc>
          <w:tcPr>
            <w:tcW w:w="3386" w:type="dxa"/>
            <w:shd w:val="clear" w:color="auto" w:fill="auto"/>
            <w:vAlign w:val="center"/>
          </w:tcPr>
          <w:p w14:paraId="77C819F1" w14:textId="77777777" w:rsidR="00F25634" w:rsidRPr="0055767A" w:rsidRDefault="00F25634" w:rsidP="00F25634">
            <w:pPr>
              <w:pStyle w:val="Sinespaciado"/>
              <w:jc w:val="both"/>
              <w:rPr>
                <w:rFonts w:ascii="Arial" w:hAnsi="Arial" w:cs="Arial"/>
                <w:b/>
                <w:sz w:val="19"/>
                <w:szCs w:val="19"/>
                <w:lang w:val="es-CO"/>
              </w:rPr>
            </w:pPr>
            <w:r w:rsidRPr="0055767A">
              <w:rPr>
                <w:rFonts w:ascii="Arial" w:hAnsi="Arial" w:cs="Arial"/>
                <w:b/>
                <w:sz w:val="19"/>
                <w:szCs w:val="19"/>
                <w:lang w:val="es-CO"/>
              </w:rPr>
              <w:t>4. Impacto económico si fuere el caso, el cual deberá señalar el costo o ahorro, de la implementación del respectivo acto.</w:t>
            </w:r>
          </w:p>
        </w:tc>
        <w:tc>
          <w:tcPr>
            <w:tcW w:w="6696" w:type="dxa"/>
            <w:gridSpan w:val="2"/>
            <w:vAlign w:val="center"/>
          </w:tcPr>
          <w:p w14:paraId="52982258" w14:textId="77777777" w:rsidR="00F25634" w:rsidRPr="0055767A" w:rsidRDefault="00F25634" w:rsidP="00F25634">
            <w:pPr>
              <w:jc w:val="both"/>
              <w:rPr>
                <w:rFonts w:ascii="Arial" w:hAnsi="Arial" w:cs="Arial"/>
                <w:color w:val="000000"/>
                <w:sz w:val="19"/>
                <w:szCs w:val="19"/>
              </w:rPr>
            </w:pPr>
            <w:r w:rsidRPr="0055767A">
              <w:rPr>
                <w:rFonts w:ascii="Arial" w:hAnsi="Arial" w:cs="Arial"/>
                <w:color w:val="000000"/>
                <w:sz w:val="19"/>
                <w:szCs w:val="19"/>
              </w:rPr>
              <w:t>Ninguno.</w:t>
            </w:r>
          </w:p>
        </w:tc>
      </w:tr>
      <w:tr w:rsidR="00F25634" w:rsidRPr="0055767A" w14:paraId="70092774" w14:textId="77777777" w:rsidTr="00324444">
        <w:tc>
          <w:tcPr>
            <w:tcW w:w="3386" w:type="dxa"/>
            <w:vAlign w:val="center"/>
          </w:tcPr>
          <w:p w14:paraId="598F4D5A" w14:textId="77777777" w:rsidR="00F25634" w:rsidRPr="0055767A" w:rsidRDefault="00F25634" w:rsidP="00F25634">
            <w:pPr>
              <w:pStyle w:val="Sinespaciado"/>
              <w:jc w:val="both"/>
              <w:rPr>
                <w:rFonts w:ascii="Arial" w:hAnsi="Arial" w:cs="Arial"/>
                <w:b/>
                <w:sz w:val="19"/>
                <w:szCs w:val="19"/>
                <w:lang w:val="es-CO"/>
              </w:rPr>
            </w:pPr>
            <w:r w:rsidRPr="0055767A">
              <w:rPr>
                <w:rFonts w:ascii="Arial" w:hAnsi="Arial" w:cs="Arial"/>
                <w:b/>
                <w:sz w:val="19"/>
                <w:szCs w:val="19"/>
                <w:lang w:val="es-CO"/>
              </w:rPr>
              <w:t xml:space="preserve">5. Disponibilidad presupuestal </w:t>
            </w:r>
          </w:p>
        </w:tc>
        <w:tc>
          <w:tcPr>
            <w:tcW w:w="6696" w:type="dxa"/>
            <w:gridSpan w:val="2"/>
            <w:vAlign w:val="center"/>
          </w:tcPr>
          <w:p w14:paraId="699764F6" w14:textId="77777777" w:rsidR="00F25634" w:rsidRPr="0055767A" w:rsidRDefault="00F25634" w:rsidP="00F25634">
            <w:pPr>
              <w:widowControl w:val="0"/>
              <w:autoSpaceDE w:val="0"/>
              <w:autoSpaceDN w:val="0"/>
              <w:adjustRightInd w:val="0"/>
              <w:jc w:val="both"/>
              <w:rPr>
                <w:rFonts w:ascii="Arial" w:hAnsi="Arial" w:cs="Arial"/>
                <w:sz w:val="19"/>
                <w:szCs w:val="19"/>
              </w:rPr>
            </w:pPr>
            <w:r w:rsidRPr="0055767A">
              <w:rPr>
                <w:rFonts w:ascii="Arial" w:hAnsi="Arial" w:cs="Arial"/>
                <w:sz w:val="19"/>
                <w:szCs w:val="19"/>
              </w:rPr>
              <w:t xml:space="preserve">No requiere </w:t>
            </w:r>
          </w:p>
        </w:tc>
      </w:tr>
      <w:tr w:rsidR="00F25634" w:rsidRPr="0055767A" w14:paraId="2B2FD7F3" w14:textId="77777777" w:rsidTr="00324444">
        <w:tc>
          <w:tcPr>
            <w:tcW w:w="3386" w:type="dxa"/>
            <w:vAlign w:val="center"/>
          </w:tcPr>
          <w:p w14:paraId="2A3B712C" w14:textId="77777777" w:rsidR="00F25634" w:rsidRPr="0055767A" w:rsidRDefault="00F25634" w:rsidP="00F25634">
            <w:pPr>
              <w:pStyle w:val="Sinespaciado"/>
              <w:jc w:val="both"/>
              <w:rPr>
                <w:rFonts w:ascii="Arial" w:hAnsi="Arial" w:cs="Arial"/>
                <w:b/>
                <w:sz w:val="19"/>
                <w:szCs w:val="19"/>
                <w:lang w:val="es-CO"/>
              </w:rPr>
            </w:pPr>
            <w:r w:rsidRPr="0055767A">
              <w:rPr>
                <w:rFonts w:ascii="Arial" w:hAnsi="Arial" w:cs="Arial"/>
                <w:b/>
                <w:sz w:val="19"/>
                <w:szCs w:val="19"/>
                <w:lang w:val="es-CO"/>
              </w:rPr>
              <w:t>6. Impacto medioambiental o sobre el patrimonio cultural de la Nación.</w:t>
            </w:r>
          </w:p>
        </w:tc>
        <w:tc>
          <w:tcPr>
            <w:tcW w:w="6696" w:type="dxa"/>
            <w:gridSpan w:val="2"/>
            <w:vAlign w:val="center"/>
          </w:tcPr>
          <w:p w14:paraId="45716B58" w14:textId="77777777" w:rsidR="00F25634" w:rsidRPr="0055767A" w:rsidRDefault="00F25634" w:rsidP="00F25634">
            <w:pPr>
              <w:pStyle w:val="Sinespaciado"/>
              <w:jc w:val="both"/>
              <w:rPr>
                <w:rFonts w:ascii="Arial" w:hAnsi="Arial" w:cs="Arial"/>
                <w:sz w:val="19"/>
                <w:szCs w:val="19"/>
                <w:lang w:val="es-CO"/>
              </w:rPr>
            </w:pPr>
            <w:r w:rsidRPr="0055767A">
              <w:rPr>
                <w:rFonts w:ascii="Arial" w:hAnsi="Arial" w:cs="Arial"/>
                <w:bCs/>
                <w:sz w:val="19"/>
                <w:szCs w:val="19"/>
              </w:rPr>
              <w:t>Las disposiciones contenidas en el proyecto de Resolución no tienen los referidos impactos ambientales respecto al patrimonio cultural de la Nación.</w:t>
            </w:r>
          </w:p>
        </w:tc>
      </w:tr>
      <w:tr w:rsidR="00F25634" w:rsidRPr="0055767A" w14:paraId="4C890205" w14:textId="77777777" w:rsidTr="00324444">
        <w:tc>
          <w:tcPr>
            <w:tcW w:w="3386" w:type="dxa"/>
            <w:vAlign w:val="center"/>
          </w:tcPr>
          <w:p w14:paraId="657C5BF8" w14:textId="77777777" w:rsidR="00F25634" w:rsidRPr="0055767A" w:rsidRDefault="00F25634" w:rsidP="00F25634">
            <w:pPr>
              <w:pStyle w:val="Sinespaciado"/>
              <w:jc w:val="both"/>
              <w:rPr>
                <w:rFonts w:ascii="Arial" w:hAnsi="Arial" w:cs="Arial"/>
                <w:b/>
                <w:sz w:val="19"/>
                <w:szCs w:val="19"/>
                <w:lang w:val="es-CO"/>
              </w:rPr>
            </w:pPr>
            <w:r w:rsidRPr="0055767A">
              <w:rPr>
                <w:rFonts w:ascii="Arial" w:hAnsi="Arial" w:cs="Arial"/>
                <w:b/>
                <w:sz w:val="19"/>
                <w:szCs w:val="19"/>
                <w:lang w:val="es-CO"/>
              </w:rPr>
              <w:t xml:space="preserve">7. El cumplimiento de los requisitos de consulta y publicidad cuando haya lugar a ello. </w:t>
            </w:r>
          </w:p>
        </w:tc>
        <w:tc>
          <w:tcPr>
            <w:tcW w:w="6696" w:type="dxa"/>
            <w:gridSpan w:val="2"/>
            <w:vAlign w:val="center"/>
          </w:tcPr>
          <w:p w14:paraId="6EE11900" w14:textId="16116EAC" w:rsidR="00F25634" w:rsidRPr="0055767A" w:rsidRDefault="00F25634" w:rsidP="00F25634">
            <w:pPr>
              <w:pStyle w:val="Sinespaciado"/>
              <w:jc w:val="both"/>
              <w:rPr>
                <w:rFonts w:ascii="Arial" w:hAnsi="Arial" w:cs="Arial"/>
                <w:bCs/>
                <w:sz w:val="19"/>
                <w:szCs w:val="19"/>
              </w:rPr>
            </w:pPr>
            <w:r w:rsidRPr="0055767A">
              <w:rPr>
                <w:rFonts w:ascii="Arial" w:hAnsi="Arial" w:cs="Arial"/>
                <w:bCs/>
                <w:sz w:val="19"/>
                <w:szCs w:val="19"/>
              </w:rPr>
              <w:t xml:space="preserve">De acuerdo con su contenido, el proyecto de </w:t>
            </w:r>
            <w:r w:rsidR="00D95069" w:rsidRPr="0055767A">
              <w:rPr>
                <w:rFonts w:ascii="Arial" w:hAnsi="Arial" w:cs="Arial"/>
                <w:bCs/>
                <w:sz w:val="19"/>
                <w:szCs w:val="19"/>
              </w:rPr>
              <w:t>Resolución</w:t>
            </w:r>
            <w:r w:rsidRPr="0055767A">
              <w:rPr>
                <w:rFonts w:ascii="Arial" w:hAnsi="Arial" w:cs="Arial"/>
                <w:bCs/>
                <w:sz w:val="19"/>
                <w:szCs w:val="19"/>
              </w:rPr>
              <w:t xml:space="preserve"> no es una decisión administrativa sujeta a las condiciones de la Ley 21 de 1991.</w:t>
            </w:r>
            <w:r w:rsidRPr="0055767A">
              <w:rPr>
                <w:rFonts w:ascii="Arial" w:hAnsi="Arial" w:cs="Arial"/>
                <w:sz w:val="19"/>
                <w:szCs w:val="19"/>
              </w:rPr>
              <w:t xml:space="preserve"> </w:t>
            </w:r>
          </w:p>
        </w:tc>
      </w:tr>
      <w:tr w:rsidR="00F25634" w:rsidRPr="0055767A" w14:paraId="793D7B98" w14:textId="77777777" w:rsidTr="00324444">
        <w:tc>
          <w:tcPr>
            <w:tcW w:w="3386" w:type="dxa"/>
            <w:vAlign w:val="center"/>
          </w:tcPr>
          <w:p w14:paraId="3F1F5EBF" w14:textId="77777777" w:rsidR="00F25634" w:rsidRPr="0055767A" w:rsidRDefault="00F25634" w:rsidP="00F25634">
            <w:pPr>
              <w:pStyle w:val="Sinespaciado"/>
              <w:jc w:val="both"/>
              <w:rPr>
                <w:rFonts w:ascii="Arial" w:hAnsi="Arial" w:cs="Arial"/>
                <w:b/>
                <w:sz w:val="19"/>
                <w:szCs w:val="19"/>
                <w:lang w:val="es-CO"/>
              </w:rPr>
            </w:pPr>
            <w:r w:rsidRPr="0055767A">
              <w:rPr>
                <w:rFonts w:ascii="Arial" w:hAnsi="Arial" w:cs="Arial"/>
                <w:b/>
                <w:sz w:val="19"/>
                <w:szCs w:val="19"/>
                <w:lang w:val="es-CO"/>
              </w:rPr>
              <w:t>8. Cualquier otro aspecto que la entidad remitente considere relevante o de importancia para la adopción de la decisión.</w:t>
            </w:r>
          </w:p>
        </w:tc>
        <w:tc>
          <w:tcPr>
            <w:tcW w:w="6696" w:type="dxa"/>
            <w:gridSpan w:val="2"/>
            <w:vAlign w:val="center"/>
          </w:tcPr>
          <w:p w14:paraId="31829290" w14:textId="77777777" w:rsidR="00F25634" w:rsidRPr="0055767A" w:rsidRDefault="00F25634" w:rsidP="00F25634">
            <w:pPr>
              <w:pStyle w:val="Sinespaciado"/>
              <w:jc w:val="both"/>
              <w:rPr>
                <w:rFonts w:ascii="Arial" w:hAnsi="Arial" w:cs="Arial"/>
                <w:b/>
                <w:bCs/>
                <w:sz w:val="19"/>
                <w:szCs w:val="19"/>
              </w:rPr>
            </w:pPr>
            <w:r w:rsidRPr="0055767A">
              <w:rPr>
                <w:rFonts w:ascii="Arial" w:hAnsi="Arial" w:cs="Arial"/>
                <w:bCs/>
                <w:sz w:val="19"/>
                <w:szCs w:val="19"/>
              </w:rPr>
              <w:t>N/A</w:t>
            </w:r>
          </w:p>
        </w:tc>
      </w:tr>
      <w:tr w:rsidR="00F25634" w:rsidRPr="00A17E35" w14:paraId="2E1A75B1" w14:textId="77777777" w:rsidTr="00324444">
        <w:trPr>
          <w:gridAfter w:val="1"/>
          <w:wAfter w:w="17" w:type="dxa"/>
          <w:trHeight w:val="739"/>
        </w:trPr>
        <w:tc>
          <w:tcPr>
            <w:tcW w:w="10065" w:type="dxa"/>
            <w:gridSpan w:val="2"/>
            <w:vAlign w:val="center"/>
          </w:tcPr>
          <w:p w14:paraId="46BB7BE4" w14:textId="77777777" w:rsidR="00F25634" w:rsidRPr="0055767A" w:rsidRDefault="00F25634" w:rsidP="00F25634">
            <w:pPr>
              <w:pStyle w:val="Sinespaciado"/>
              <w:jc w:val="both"/>
              <w:rPr>
                <w:rFonts w:ascii="Arial" w:hAnsi="Arial" w:cs="Arial"/>
                <w:sz w:val="19"/>
                <w:szCs w:val="19"/>
                <w:lang w:val="es-CO"/>
              </w:rPr>
            </w:pPr>
            <w:r w:rsidRPr="0055767A">
              <w:rPr>
                <w:rFonts w:ascii="Arial" w:hAnsi="Arial" w:cs="Arial"/>
                <w:b/>
                <w:sz w:val="19"/>
                <w:szCs w:val="19"/>
                <w:lang w:val="es-CO"/>
              </w:rPr>
              <w:t>9. Seguridad Jurídica:</w:t>
            </w:r>
            <w:r w:rsidRPr="0055767A">
              <w:rPr>
                <w:rFonts w:ascii="Arial" w:hAnsi="Arial" w:cs="Arial"/>
                <w:sz w:val="19"/>
                <w:szCs w:val="19"/>
                <w:lang w:val="es-CO"/>
              </w:rPr>
              <w:t xml:space="preserve"> Dentro del año inmediatamente anterior ya se había reglamentado la misma materia: </w:t>
            </w:r>
          </w:p>
          <w:p w14:paraId="218CB578" w14:textId="7D5348D3" w:rsidR="00F25634" w:rsidRPr="0055767A" w:rsidRDefault="00F25634" w:rsidP="00F25634">
            <w:pPr>
              <w:pStyle w:val="Sinespaciado"/>
              <w:jc w:val="both"/>
              <w:rPr>
                <w:rFonts w:ascii="Arial" w:hAnsi="Arial" w:cs="Arial"/>
                <w:sz w:val="19"/>
                <w:szCs w:val="19"/>
                <w:lang w:val="es-CO"/>
              </w:rPr>
            </w:pPr>
            <w:r w:rsidRPr="0055767A">
              <w:rPr>
                <w:rFonts w:ascii="Arial" w:hAnsi="Arial" w:cs="Arial"/>
                <w:sz w:val="19"/>
                <w:szCs w:val="19"/>
                <w:lang w:val="es-CO"/>
              </w:rPr>
              <w:t xml:space="preserve">SI: </w:t>
            </w:r>
            <w:r w:rsidRPr="0055767A">
              <w:rPr>
                <w:rFonts w:ascii="Arial" w:hAnsi="Arial" w:cs="Arial"/>
                <w:b/>
                <w:sz w:val="19"/>
                <w:szCs w:val="19"/>
                <w:u w:val="single"/>
                <w:lang w:val="es-CO"/>
              </w:rPr>
              <w:t>__</w:t>
            </w:r>
            <w:r w:rsidRPr="0055767A">
              <w:rPr>
                <w:rFonts w:ascii="Arial" w:hAnsi="Arial" w:cs="Arial"/>
                <w:sz w:val="19"/>
                <w:szCs w:val="19"/>
                <w:lang w:val="es-CO"/>
              </w:rPr>
              <w:t xml:space="preserve">                   </w:t>
            </w:r>
            <w:r w:rsidRPr="0055767A">
              <w:rPr>
                <w:rFonts w:ascii="Arial" w:hAnsi="Arial" w:cs="Arial"/>
                <w:b/>
                <w:sz w:val="19"/>
                <w:szCs w:val="19"/>
                <w:lang w:val="es-CO"/>
              </w:rPr>
              <w:t xml:space="preserve">NO: </w:t>
            </w:r>
            <w:r w:rsidRPr="0055767A">
              <w:rPr>
                <w:rFonts w:ascii="Arial" w:hAnsi="Arial" w:cs="Arial"/>
                <w:b/>
                <w:sz w:val="19"/>
                <w:szCs w:val="19"/>
              </w:rPr>
              <w:t>_</w:t>
            </w:r>
            <w:r w:rsidR="00B4543F" w:rsidRPr="0055767A">
              <w:rPr>
                <w:rFonts w:ascii="Arial" w:hAnsi="Arial" w:cs="Arial"/>
                <w:b/>
                <w:sz w:val="19"/>
                <w:szCs w:val="19"/>
              </w:rPr>
              <w:t>X</w:t>
            </w:r>
            <w:r w:rsidRPr="0055767A">
              <w:rPr>
                <w:rFonts w:ascii="Arial" w:hAnsi="Arial" w:cs="Arial"/>
                <w:b/>
                <w:sz w:val="19"/>
                <w:szCs w:val="19"/>
              </w:rPr>
              <w:t>__</w:t>
            </w:r>
          </w:p>
        </w:tc>
      </w:tr>
    </w:tbl>
    <w:p w14:paraId="4821CA83" w14:textId="77777777" w:rsidR="00C32CA2" w:rsidRPr="00A17E35" w:rsidRDefault="00C32CA2" w:rsidP="00C32CA2">
      <w:pPr>
        <w:pStyle w:val="Sinespaciado"/>
        <w:jc w:val="both"/>
        <w:rPr>
          <w:rFonts w:ascii="Arial" w:hAnsi="Arial" w:cs="Arial"/>
          <w:sz w:val="19"/>
          <w:szCs w:val="19"/>
          <w:lang w:val="es-C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C32CA2" w:rsidRPr="00A17E35" w14:paraId="6374A030" w14:textId="77777777" w:rsidTr="00324444">
        <w:trPr>
          <w:trHeight w:val="7633"/>
        </w:trPr>
        <w:tc>
          <w:tcPr>
            <w:tcW w:w="10065" w:type="dxa"/>
          </w:tcPr>
          <w:p w14:paraId="5362DACE" w14:textId="57BB1BF2" w:rsidR="00C32CA2" w:rsidRPr="00A17E35" w:rsidRDefault="00C32CA2" w:rsidP="00324444">
            <w:pPr>
              <w:pStyle w:val="Sinespaciado"/>
              <w:jc w:val="both"/>
              <w:rPr>
                <w:rFonts w:ascii="Arial" w:hAnsi="Arial" w:cs="Arial"/>
                <w:sz w:val="19"/>
                <w:szCs w:val="19"/>
              </w:rPr>
            </w:pPr>
            <w:r w:rsidRPr="00A17E35">
              <w:rPr>
                <w:rFonts w:ascii="Arial" w:hAnsi="Arial" w:cs="Arial"/>
                <w:sz w:val="19"/>
                <w:szCs w:val="19"/>
                <w:lang w:val="es-CO"/>
              </w:rPr>
              <w:lastRenderedPageBreak/>
              <w:t>EL PROYECTO CUMPLE CON LAS DIRECTRICES DE TECNICA NORMATIVA PREVISTAS EN EL DECRETO No. 108</w:t>
            </w:r>
            <w:r w:rsidR="00A548B4">
              <w:rPr>
                <w:rFonts w:ascii="Arial" w:hAnsi="Arial" w:cs="Arial"/>
                <w:sz w:val="19"/>
                <w:szCs w:val="19"/>
                <w:lang w:val="es-CO"/>
              </w:rPr>
              <w:t>2</w:t>
            </w:r>
            <w:r w:rsidRPr="00A17E35">
              <w:rPr>
                <w:rFonts w:ascii="Arial" w:hAnsi="Arial" w:cs="Arial"/>
                <w:sz w:val="19"/>
                <w:szCs w:val="19"/>
                <w:lang w:val="es-CO"/>
              </w:rPr>
              <w:t xml:space="preserve"> de 2015:</w:t>
            </w:r>
            <w:r w:rsidRPr="00A17E35">
              <w:rPr>
                <w:rFonts w:ascii="Arial" w:hAnsi="Arial" w:cs="Arial"/>
                <w:b/>
                <w:sz w:val="19"/>
                <w:szCs w:val="19"/>
                <w:lang w:val="es-CO"/>
              </w:rPr>
              <w:t xml:space="preserve"> SI    </w:t>
            </w:r>
            <w:r w:rsidRPr="00A17E35">
              <w:rPr>
                <w:rFonts w:ascii="Arial" w:hAnsi="Arial" w:cs="Arial"/>
                <w:sz w:val="19"/>
                <w:szCs w:val="19"/>
                <w:lang w:val="es-CO"/>
              </w:rPr>
              <w:t xml:space="preserve"> </w:t>
            </w:r>
            <w:r w:rsidRPr="00A17E35">
              <w:rPr>
                <w:rFonts w:ascii="Arial" w:hAnsi="Arial" w:cs="Arial"/>
                <w:sz w:val="19"/>
                <w:szCs w:val="19"/>
                <w:u w:val="single"/>
                <w:lang w:val="es-CO"/>
              </w:rPr>
              <w:t>X</w:t>
            </w:r>
            <w:r w:rsidRPr="00A17E35">
              <w:rPr>
                <w:rFonts w:ascii="Arial" w:hAnsi="Arial" w:cs="Arial"/>
                <w:sz w:val="19"/>
                <w:szCs w:val="19"/>
              </w:rPr>
              <w:t xml:space="preserve"> </w:t>
            </w:r>
            <w:r w:rsidRPr="00A17E35">
              <w:rPr>
                <w:rFonts w:ascii="Arial" w:hAnsi="Arial" w:cs="Arial"/>
                <w:b/>
                <w:sz w:val="19"/>
                <w:szCs w:val="19"/>
              </w:rPr>
              <w:t xml:space="preserve">        NO</w:t>
            </w:r>
            <w:r w:rsidRPr="00A17E35">
              <w:rPr>
                <w:rFonts w:ascii="Arial" w:hAnsi="Arial" w:cs="Arial"/>
                <w:sz w:val="19"/>
                <w:szCs w:val="19"/>
              </w:rPr>
              <w:t xml:space="preserve"> _____</w:t>
            </w:r>
          </w:p>
          <w:p w14:paraId="1270FB2A" w14:textId="77777777" w:rsidR="00C32CA2" w:rsidRPr="00A17E35" w:rsidRDefault="00C32CA2" w:rsidP="00324444">
            <w:pPr>
              <w:pStyle w:val="Sinespaciado"/>
              <w:jc w:val="both"/>
              <w:rPr>
                <w:rFonts w:ascii="Arial" w:hAnsi="Arial" w:cs="Arial"/>
                <w:sz w:val="19"/>
                <w:szCs w:val="19"/>
              </w:rPr>
            </w:pPr>
          </w:p>
          <w:p w14:paraId="13602412" w14:textId="77777777" w:rsidR="00C32CA2" w:rsidRPr="00A17E35" w:rsidRDefault="00C32CA2" w:rsidP="00324444">
            <w:pPr>
              <w:pStyle w:val="Sinespaciado"/>
              <w:jc w:val="both"/>
              <w:rPr>
                <w:rFonts w:ascii="Arial" w:hAnsi="Arial" w:cs="Arial"/>
                <w:b/>
                <w:sz w:val="19"/>
                <w:szCs w:val="19"/>
              </w:rPr>
            </w:pPr>
            <w:r w:rsidRPr="00A17E35">
              <w:rPr>
                <w:rFonts w:ascii="Arial" w:hAnsi="Arial" w:cs="Arial"/>
                <w:b/>
                <w:sz w:val="19"/>
                <w:szCs w:val="19"/>
              </w:rPr>
              <w:t>Viabilidad Jurídica:</w:t>
            </w:r>
          </w:p>
          <w:p w14:paraId="6A5487A6" w14:textId="77777777" w:rsidR="00C32CA2" w:rsidRPr="00A17E35" w:rsidRDefault="00C32CA2" w:rsidP="00324444">
            <w:pPr>
              <w:pStyle w:val="Sinespaciado"/>
              <w:jc w:val="both"/>
              <w:rPr>
                <w:rFonts w:ascii="Arial" w:hAnsi="Arial" w:cs="Arial"/>
                <w:sz w:val="19"/>
                <w:szCs w:val="19"/>
              </w:rPr>
            </w:pPr>
          </w:p>
          <w:p w14:paraId="47E4E596" w14:textId="77777777" w:rsidR="00C32CA2" w:rsidRPr="00A17E35" w:rsidRDefault="00C32CA2" w:rsidP="00324444">
            <w:pPr>
              <w:pStyle w:val="Sinespaciado"/>
              <w:numPr>
                <w:ilvl w:val="0"/>
                <w:numId w:val="1"/>
              </w:numPr>
              <w:jc w:val="both"/>
              <w:rPr>
                <w:rFonts w:ascii="Arial" w:hAnsi="Arial" w:cs="Arial"/>
                <w:b/>
                <w:sz w:val="19"/>
                <w:szCs w:val="19"/>
              </w:rPr>
            </w:pPr>
            <w:r w:rsidRPr="00A17E35">
              <w:rPr>
                <w:rFonts w:ascii="Arial" w:hAnsi="Arial" w:cs="Arial"/>
                <w:b/>
                <w:sz w:val="19"/>
                <w:szCs w:val="19"/>
              </w:rPr>
              <w:t>Análisis expreso y detallado de normas de competencia.</w:t>
            </w:r>
          </w:p>
          <w:p w14:paraId="3348961E" w14:textId="77777777" w:rsidR="00C32CA2" w:rsidRPr="00A17E35" w:rsidRDefault="00C32CA2" w:rsidP="00324444">
            <w:pPr>
              <w:pStyle w:val="Sinespaciado"/>
              <w:jc w:val="both"/>
              <w:rPr>
                <w:rFonts w:ascii="Arial" w:hAnsi="Arial" w:cs="Arial"/>
                <w:b/>
                <w:sz w:val="19"/>
                <w:szCs w:val="19"/>
              </w:rPr>
            </w:pPr>
          </w:p>
          <w:p w14:paraId="02B3C296" w14:textId="77777777" w:rsidR="00C32CA2" w:rsidRPr="00A17E35" w:rsidRDefault="00C32CA2" w:rsidP="00324444">
            <w:pPr>
              <w:pStyle w:val="Sinespaciado"/>
              <w:jc w:val="both"/>
              <w:rPr>
                <w:rFonts w:ascii="Arial" w:hAnsi="Arial" w:cs="Arial"/>
                <w:b/>
                <w:sz w:val="19"/>
                <w:szCs w:val="19"/>
              </w:rPr>
            </w:pPr>
          </w:p>
          <w:p w14:paraId="453CA51F" w14:textId="77777777" w:rsidR="00C32CA2" w:rsidRPr="00A17E35" w:rsidRDefault="00C32CA2" w:rsidP="00324444">
            <w:pPr>
              <w:pStyle w:val="Sinespaciado"/>
              <w:jc w:val="both"/>
              <w:rPr>
                <w:rFonts w:ascii="Arial" w:hAnsi="Arial" w:cs="Arial"/>
                <w:sz w:val="19"/>
                <w:szCs w:val="19"/>
              </w:rPr>
            </w:pPr>
            <w:r w:rsidRPr="00A17E35">
              <w:rPr>
                <w:rFonts w:ascii="Arial" w:hAnsi="Arial" w:cs="Arial"/>
                <w:b/>
                <w:sz w:val="19"/>
                <w:szCs w:val="19"/>
              </w:rPr>
              <w:t xml:space="preserve">Decreto 2094 del 22 de diciembre de 2016 </w:t>
            </w:r>
            <w:r w:rsidRPr="00A17E35">
              <w:rPr>
                <w:rFonts w:ascii="Arial" w:hAnsi="Arial" w:cs="Arial"/>
                <w:sz w:val="19"/>
                <w:szCs w:val="19"/>
              </w:rPr>
              <w:t>“Por el cual se modifica la estructura del Departamento Administrativo para la Prosperidad Social - Prosperidad Social”.</w:t>
            </w:r>
          </w:p>
          <w:p w14:paraId="42976BAF" w14:textId="77777777" w:rsidR="00C32CA2" w:rsidRPr="00A17E35" w:rsidRDefault="00C32CA2" w:rsidP="00324444">
            <w:pPr>
              <w:pStyle w:val="Sinespaciado"/>
              <w:jc w:val="both"/>
              <w:rPr>
                <w:rFonts w:ascii="Arial" w:hAnsi="Arial" w:cs="Arial"/>
                <w:sz w:val="19"/>
                <w:szCs w:val="19"/>
              </w:rPr>
            </w:pPr>
          </w:p>
          <w:p w14:paraId="460AE5C0" w14:textId="1FCCC592" w:rsidR="00C32CA2" w:rsidRPr="00A17E35" w:rsidRDefault="00C32CA2" w:rsidP="00A548B4">
            <w:pPr>
              <w:shd w:val="clear" w:color="auto" w:fill="FFFFFF"/>
              <w:jc w:val="both"/>
              <w:rPr>
                <w:rFonts w:ascii="Arial" w:hAnsi="Arial" w:cs="Arial"/>
                <w:i/>
                <w:sz w:val="19"/>
                <w:szCs w:val="19"/>
                <w:lang w:val="es-CO" w:eastAsia="es-CO"/>
              </w:rPr>
            </w:pPr>
            <w:r w:rsidRPr="00A17E35">
              <w:rPr>
                <w:rFonts w:ascii="Arial" w:hAnsi="Arial" w:cs="Arial"/>
                <w:bCs/>
                <w:i/>
                <w:sz w:val="19"/>
                <w:szCs w:val="19"/>
                <w:lang w:val="es-CO" w:eastAsia="es-CO"/>
              </w:rPr>
              <w:t>“Artículo 2</w:t>
            </w:r>
            <w:r w:rsidR="00A548B4">
              <w:rPr>
                <w:rFonts w:ascii="Arial" w:hAnsi="Arial" w:cs="Arial"/>
                <w:bCs/>
                <w:i/>
                <w:sz w:val="19"/>
                <w:szCs w:val="19"/>
                <w:lang w:val="es-CO" w:eastAsia="es-CO"/>
              </w:rPr>
              <w:t>5</w:t>
            </w:r>
            <w:r w:rsidRPr="00A17E35">
              <w:rPr>
                <w:rFonts w:ascii="Arial" w:hAnsi="Arial" w:cs="Arial"/>
                <w:bCs/>
                <w:i/>
                <w:sz w:val="19"/>
                <w:szCs w:val="19"/>
                <w:lang w:val="es-CO" w:eastAsia="es-CO"/>
              </w:rPr>
              <w:t>.</w:t>
            </w:r>
            <w:r w:rsidRPr="00A17E35">
              <w:rPr>
                <w:rFonts w:ascii="Arial" w:hAnsi="Arial" w:cs="Arial"/>
                <w:i/>
                <w:sz w:val="19"/>
                <w:szCs w:val="19"/>
                <w:lang w:val="es-CO" w:eastAsia="es-CO"/>
              </w:rPr>
              <w:t xml:space="preserve"> </w:t>
            </w:r>
            <w:r w:rsidRPr="00A17E35">
              <w:rPr>
                <w:rFonts w:ascii="Arial" w:hAnsi="Arial" w:cs="Arial"/>
                <w:bCs/>
                <w:i/>
                <w:iCs/>
                <w:sz w:val="19"/>
                <w:szCs w:val="19"/>
                <w:lang w:val="es-CO" w:eastAsia="es-CO"/>
              </w:rPr>
              <w:t xml:space="preserve">Subdirección de </w:t>
            </w:r>
            <w:r w:rsidR="00A548B4">
              <w:rPr>
                <w:rFonts w:ascii="Arial" w:hAnsi="Arial" w:cs="Arial"/>
                <w:bCs/>
                <w:i/>
                <w:iCs/>
                <w:sz w:val="19"/>
                <w:szCs w:val="19"/>
                <w:lang w:val="es-CO" w:eastAsia="es-CO"/>
              </w:rPr>
              <w:t>Contratación</w:t>
            </w:r>
            <w:r w:rsidRPr="00A17E35">
              <w:rPr>
                <w:rFonts w:ascii="Arial" w:hAnsi="Arial" w:cs="Arial"/>
                <w:bCs/>
                <w:i/>
                <w:iCs/>
                <w:sz w:val="19"/>
                <w:szCs w:val="19"/>
                <w:lang w:val="es-CO" w:eastAsia="es-CO"/>
              </w:rPr>
              <w:t>.</w:t>
            </w:r>
            <w:r w:rsidRPr="00A17E35">
              <w:rPr>
                <w:rFonts w:ascii="Arial" w:hAnsi="Arial" w:cs="Arial"/>
                <w:i/>
                <w:sz w:val="19"/>
                <w:szCs w:val="19"/>
                <w:lang w:val="es-CO" w:eastAsia="es-CO"/>
              </w:rPr>
              <w:t xml:space="preserve"> Son funciones de la Subdirección de </w:t>
            </w:r>
            <w:r w:rsidR="00A548B4">
              <w:rPr>
                <w:rFonts w:ascii="Arial" w:hAnsi="Arial" w:cs="Arial"/>
                <w:i/>
                <w:sz w:val="19"/>
                <w:szCs w:val="19"/>
                <w:lang w:val="es-CO" w:eastAsia="es-CO"/>
              </w:rPr>
              <w:t>Contratación</w:t>
            </w:r>
            <w:r w:rsidRPr="00A17E35">
              <w:rPr>
                <w:rFonts w:ascii="Arial" w:hAnsi="Arial" w:cs="Arial"/>
                <w:i/>
                <w:sz w:val="19"/>
                <w:szCs w:val="19"/>
                <w:lang w:val="es-CO" w:eastAsia="es-CO"/>
              </w:rPr>
              <w:t>, las siguientes:</w:t>
            </w:r>
          </w:p>
          <w:p w14:paraId="2B1CD40A" w14:textId="77777777" w:rsidR="00C32CA2" w:rsidRPr="00A17E35" w:rsidRDefault="00C32CA2" w:rsidP="00A548B4">
            <w:pPr>
              <w:shd w:val="clear" w:color="auto" w:fill="FFFFFF"/>
              <w:jc w:val="both"/>
              <w:rPr>
                <w:rFonts w:ascii="Arial" w:hAnsi="Arial" w:cs="Arial"/>
                <w:i/>
                <w:sz w:val="19"/>
                <w:szCs w:val="19"/>
                <w:lang w:val="es-CO" w:eastAsia="es-CO"/>
              </w:rPr>
            </w:pPr>
          </w:p>
          <w:p w14:paraId="0BFF3C95" w14:textId="77777777" w:rsidR="00C32CA2" w:rsidRPr="00A17E35" w:rsidRDefault="00C32CA2" w:rsidP="00A548B4">
            <w:pPr>
              <w:shd w:val="clear" w:color="auto" w:fill="FFFFFF"/>
              <w:jc w:val="both"/>
              <w:rPr>
                <w:rFonts w:ascii="Arial" w:hAnsi="Arial" w:cs="Arial"/>
                <w:i/>
                <w:sz w:val="19"/>
                <w:szCs w:val="19"/>
                <w:lang w:val="es-CO" w:eastAsia="es-CO"/>
              </w:rPr>
            </w:pPr>
            <w:r w:rsidRPr="00A17E35">
              <w:rPr>
                <w:rFonts w:ascii="Arial" w:hAnsi="Arial" w:cs="Arial"/>
                <w:i/>
                <w:sz w:val="19"/>
                <w:szCs w:val="19"/>
                <w:lang w:val="es-CO" w:eastAsia="es-CO"/>
              </w:rPr>
              <w:t>(…)</w:t>
            </w:r>
          </w:p>
          <w:p w14:paraId="02D5A23B" w14:textId="535A655B" w:rsidR="00A548B4" w:rsidRPr="00A548B4" w:rsidRDefault="00C32CA2" w:rsidP="00A548B4">
            <w:pPr>
              <w:shd w:val="clear" w:color="auto" w:fill="FFFFFF"/>
              <w:spacing w:before="150"/>
              <w:jc w:val="both"/>
              <w:rPr>
                <w:rFonts w:ascii="Arial" w:hAnsi="Arial" w:cs="Arial"/>
                <w:i/>
                <w:sz w:val="19"/>
                <w:szCs w:val="19"/>
                <w:lang w:val="es-CO" w:eastAsia="es-CO"/>
              </w:rPr>
            </w:pPr>
            <w:r w:rsidRPr="00DA07E8">
              <w:rPr>
                <w:rFonts w:ascii="Arial" w:hAnsi="Arial" w:cs="Arial"/>
                <w:i/>
                <w:sz w:val="19"/>
                <w:szCs w:val="19"/>
                <w:lang w:val="es-CO" w:eastAsia="es-CO"/>
              </w:rPr>
              <w:t>“</w:t>
            </w:r>
            <w:r w:rsidR="00A548B4" w:rsidRPr="00A548B4">
              <w:rPr>
                <w:rFonts w:ascii="Arial" w:hAnsi="Arial" w:cs="Arial"/>
                <w:i/>
                <w:sz w:val="19"/>
                <w:szCs w:val="19"/>
                <w:lang w:val="es-CO" w:eastAsia="es-CO"/>
              </w:rPr>
              <w:t>3. Diseñar, asesorar, coordinar, bajo los lineamientos de la Secretaría General, estudios, recomendaciones,</w:t>
            </w:r>
            <w:r w:rsidR="00A548B4">
              <w:rPr>
                <w:rFonts w:ascii="Arial" w:hAnsi="Arial" w:cs="Arial"/>
                <w:i/>
                <w:sz w:val="19"/>
                <w:szCs w:val="19"/>
                <w:lang w:val="es-CO" w:eastAsia="es-CO"/>
              </w:rPr>
              <w:t xml:space="preserve"> </w:t>
            </w:r>
            <w:r w:rsidR="00A548B4" w:rsidRPr="00A548B4">
              <w:rPr>
                <w:rFonts w:ascii="Arial" w:hAnsi="Arial" w:cs="Arial"/>
                <w:i/>
                <w:sz w:val="19"/>
                <w:szCs w:val="19"/>
                <w:lang w:val="es-CO" w:eastAsia="es-CO"/>
              </w:rPr>
              <w:t>metodologías y procedimientos de contratación. </w:t>
            </w:r>
          </w:p>
          <w:p w14:paraId="7287CAD4" w14:textId="07C2BBC9" w:rsidR="00A548B4" w:rsidRPr="00A548B4" w:rsidRDefault="00A548B4" w:rsidP="00A548B4">
            <w:pPr>
              <w:shd w:val="clear" w:color="auto" w:fill="FFFFFF"/>
              <w:spacing w:before="150"/>
              <w:jc w:val="both"/>
              <w:rPr>
                <w:rFonts w:ascii="Arial" w:hAnsi="Arial" w:cs="Arial"/>
                <w:i/>
                <w:sz w:val="19"/>
                <w:szCs w:val="19"/>
                <w:lang w:val="es-CO" w:eastAsia="es-CO"/>
              </w:rPr>
            </w:pPr>
            <w:r w:rsidRPr="00A548B4">
              <w:rPr>
                <w:rFonts w:ascii="Arial" w:hAnsi="Arial" w:cs="Arial"/>
                <w:i/>
                <w:sz w:val="19"/>
                <w:szCs w:val="19"/>
                <w:lang w:val="es-CO" w:eastAsia="es-CO"/>
              </w:rPr>
              <w:t>4. Planear, asesorar, vigilar, controlar y verificar el cumplimiento de los procesos y procedimientos relacionados con la Planeación y Gestión Contractual del Departamento Administrativo, determinados en forma legal o estatutaria. </w:t>
            </w:r>
          </w:p>
          <w:p w14:paraId="5E7D183B" w14:textId="77777777" w:rsidR="00A548B4" w:rsidRPr="00A548B4" w:rsidRDefault="00A548B4" w:rsidP="00A548B4">
            <w:pPr>
              <w:shd w:val="clear" w:color="auto" w:fill="FFFFFF"/>
              <w:spacing w:before="150"/>
              <w:jc w:val="both"/>
              <w:rPr>
                <w:rFonts w:ascii="Arial" w:hAnsi="Arial" w:cs="Arial"/>
                <w:i/>
                <w:sz w:val="19"/>
                <w:szCs w:val="19"/>
                <w:lang w:val="es-CO" w:eastAsia="es-CO"/>
              </w:rPr>
            </w:pPr>
            <w:r w:rsidRPr="00A548B4">
              <w:rPr>
                <w:rFonts w:ascii="Arial" w:hAnsi="Arial" w:cs="Arial"/>
                <w:i/>
                <w:sz w:val="19"/>
                <w:szCs w:val="19"/>
                <w:lang w:val="es-CO" w:eastAsia="es-CO"/>
              </w:rPr>
              <w:t>5. Asesorar a las dependencias sobre las investigaciones de mercado que permitan orientar la adquisición de bienes y servicios que mejor satisfagan las necesidades del Departamento Administrativo y sus entidades adscritas y vinculadas </w:t>
            </w:r>
          </w:p>
          <w:p w14:paraId="48DEAFE0" w14:textId="4DEF40C7" w:rsidR="00C32CA2" w:rsidRPr="00A17E35" w:rsidRDefault="00C32CA2" w:rsidP="00324444">
            <w:pPr>
              <w:shd w:val="clear" w:color="auto" w:fill="FFFFFF"/>
              <w:spacing w:before="150"/>
              <w:jc w:val="both"/>
              <w:rPr>
                <w:rFonts w:ascii="Arial" w:hAnsi="Arial" w:cs="Arial"/>
                <w:b/>
                <w:sz w:val="19"/>
                <w:szCs w:val="19"/>
              </w:rPr>
            </w:pPr>
          </w:p>
          <w:p w14:paraId="1039FA7F" w14:textId="249AF4AD" w:rsidR="00C32CA2" w:rsidRDefault="0055767A" w:rsidP="00324444">
            <w:pPr>
              <w:shd w:val="clear" w:color="auto" w:fill="FFFFFF"/>
              <w:jc w:val="both"/>
              <w:rPr>
                <w:rFonts w:ascii="Arial" w:hAnsi="Arial" w:cs="Arial"/>
                <w:b/>
                <w:sz w:val="19"/>
                <w:szCs w:val="19"/>
              </w:rPr>
            </w:pPr>
            <w:r>
              <w:rPr>
                <w:rFonts w:ascii="Arial" w:hAnsi="Arial" w:cs="Arial"/>
                <w:b/>
                <w:sz w:val="19"/>
                <w:szCs w:val="19"/>
              </w:rPr>
              <w:t>Decreto 1082 de 2015</w:t>
            </w:r>
          </w:p>
          <w:p w14:paraId="4F459446" w14:textId="67A956D4" w:rsidR="00C32CA2" w:rsidRDefault="00C32CA2" w:rsidP="00324444">
            <w:pPr>
              <w:shd w:val="clear" w:color="auto" w:fill="FFFFFF"/>
              <w:jc w:val="both"/>
              <w:rPr>
                <w:rFonts w:ascii="Arial" w:hAnsi="Arial" w:cs="Arial"/>
                <w:b/>
                <w:bCs/>
                <w:i/>
                <w:sz w:val="19"/>
                <w:szCs w:val="19"/>
                <w:lang w:val="es-CO" w:eastAsia="es-CO"/>
              </w:rPr>
            </w:pPr>
          </w:p>
          <w:p w14:paraId="6674F5E1" w14:textId="54151101" w:rsidR="0055767A" w:rsidRPr="00DA1038" w:rsidRDefault="0055767A" w:rsidP="00324444">
            <w:pPr>
              <w:shd w:val="clear" w:color="auto" w:fill="FFFFFF"/>
              <w:jc w:val="both"/>
              <w:rPr>
                <w:rFonts w:ascii="Arial" w:hAnsi="Arial" w:cs="Arial"/>
                <w:b/>
                <w:i/>
                <w:sz w:val="19"/>
                <w:szCs w:val="19"/>
              </w:rPr>
            </w:pPr>
            <w:r w:rsidRPr="0055767A">
              <w:rPr>
                <w:rFonts w:ascii="Arial" w:hAnsi="Arial" w:cs="Arial"/>
                <w:b/>
                <w:bCs/>
                <w:i/>
                <w:sz w:val="19"/>
                <w:szCs w:val="19"/>
              </w:rPr>
              <w:t>Artículo 2.2.1.2.5.3. </w:t>
            </w:r>
            <w:r w:rsidRPr="0055767A">
              <w:rPr>
                <w:rFonts w:ascii="Arial" w:hAnsi="Arial" w:cs="Arial"/>
                <w:b/>
                <w:bCs/>
                <w:i/>
                <w:iCs/>
                <w:sz w:val="19"/>
                <w:szCs w:val="19"/>
              </w:rPr>
              <w:t>Manual de contratación</w:t>
            </w:r>
            <w:r w:rsidRPr="0055767A">
              <w:rPr>
                <w:rFonts w:ascii="Arial" w:hAnsi="Arial" w:cs="Arial"/>
                <w:b/>
                <w:i/>
                <w:iCs/>
                <w:sz w:val="19"/>
                <w:szCs w:val="19"/>
              </w:rPr>
              <w:t>. </w:t>
            </w:r>
            <w:r w:rsidRPr="0055767A">
              <w:rPr>
                <w:rFonts w:ascii="Arial" w:hAnsi="Arial" w:cs="Arial"/>
                <w:bCs/>
                <w:i/>
                <w:sz w:val="19"/>
                <w:szCs w:val="19"/>
              </w:rPr>
              <w:t>Las Entidades Estatales deben contar con un manual de contratación, el cual debe cumplir con los lineamientos que para el efecto señale Colombia Compra Eficiente</w:t>
            </w:r>
            <w:r w:rsidRPr="0055767A">
              <w:rPr>
                <w:rFonts w:ascii="Arial" w:hAnsi="Arial" w:cs="Arial"/>
                <w:b/>
                <w:i/>
                <w:sz w:val="19"/>
                <w:szCs w:val="19"/>
              </w:rPr>
              <w:t>.</w:t>
            </w:r>
          </w:p>
          <w:p w14:paraId="348EF946" w14:textId="77777777" w:rsidR="0055767A" w:rsidRDefault="0055767A" w:rsidP="00324444">
            <w:pPr>
              <w:pStyle w:val="Sinespaciado"/>
              <w:jc w:val="both"/>
              <w:rPr>
                <w:rFonts w:ascii="Arial" w:hAnsi="Arial" w:cs="Arial"/>
                <w:sz w:val="19"/>
                <w:szCs w:val="19"/>
              </w:rPr>
            </w:pPr>
          </w:p>
          <w:p w14:paraId="023928C0" w14:textId="77777777" w:rsidR="0055767A" w:rsidRDefault="0055767A" w:rsidP="00324444">
            <w:pPr>
              <w:pStyle w:val="Sinespaciado"/>
              <w:jc w:val="both"/>
              <w:rPr>
                <w:rFonts w:ascii="Arial" w:hAnsi="Arial" w:cs="Arial"/>
                <w:sz w:val="19"/>
                <w:szCs w:val="19"/>
              </w:rPr>
            </w:pPr>
          </w:p>
          <w:p w14:paraId="3B562C0E" w14:textId="6BFDC9F2" w:rsidR="00C32CA2" w:rsidRPr="00DA1038" w:rsidRDefault="00C32CA2" w:rsidP="00324444">
            <w:pPr>
              <w:pStyle w:val="Sinespaciado"/>
              <w:jc w:val="both"/>
              <w:rPr>
                <w:rFonts w:ascii="Arial" w:hAnsi="Arial" w:cs="Arial"/>
                <w:sz w:val="19"/>
                <w:szCs w:val="19"/>
              </w:rPr>
            </w:pPr>
            <w:r w:rsidRPr="00DA1038">
              <w:rPr>
                <w:rFonts w:ascii="Arial" w:hAnsi="Arial" w:cs="Arial"/>
                <w:sz w:val="19"/>
                <w:szCs w:val="19"/>
              </w:rPr>
              <w:t>Elaboró:</w:t>
            </w:r>
          </w:p>
          <w:p w14:paraId="73E4DAC4" w14:textId="77777777" w:rsidR="00C32CA2" w:rsidRPr="00DA1038" w:rsidRDefault="00C32CA2" w:rsidP="00324444">
            <w:pPr>
              <w:pStyle w:val="Sinespaciado"/>
              <w:jc w:val="both"/>
              <w:rPr>
                <w:rFonts w:ascii="Arial" w:hAnsi="Arial" w:cs="Arial"/>
                <w:sz w:val="19"/>
                <w:szCs w:val="19"/>
              </w:rPr>
            </w:pPr>
          </w:p>
          <w:p w14:paraId="2DA98E8F" w14:textId="77777777" w:rsidR="00C32CA2" w:rsidRPr="00A17E35" w:rsidRDefault="00C32CA2" w:rsidP="00324444">
            <w:pPr>
              <w:pStyle w:val="Sinespaciado"/>
              <w:jc w:val="both"/>
              <w:rPr>
                <w:rFonts w:ascii="Arial" w:hAnsi="Arial" w:cs="Arial"/>
                <w:sz w:val="19"/>
                <w:szCs w:val="19"/>
              </w:rPr>
            </w:pPr>
          </w:p>
          <w:p w14:paraId="5CCED971" w14:textId="77777777" w:rsidR="00C32CA2" w:rsidRPr="00A17E35" w:rsidRDefault="00C32CA2" w:rsidP="00324444">
            <w:pPr>
              <w:pStyle w:val="Sinespaciado"/>
              <w:jc w:val="both"/>
              <w:rPr>
                <w:rFonts w:ascii="Arial" w:hAnsi="Arial" w:cs="Arial"/>
                <w:sz w:val="19"/>
                <w:szCs w:val="19"/>
              </w:rPr>
            </w:pPr>
          </w:p>
          <w:p w14:paraId="0678A78F" w14:textId="050D9194" w:rsidR="00C32CA2" w:rsidRPr="00A17E35" w:rsidRDefault="00D95069" w:rsidP="00324444">
            <w:pPr>
              <w:rPr>
                <w:rFonts w:ascii="Arial" w:hAnsi="Arial" w:cs="Arial"/>
                <w:sz w:val="19"/>
                <w:szCs w:val="19"/>
              </w:rPr>
            </w:pPr>
            <w:r>
              <w:rPr>
                <w:rFonts w:ascii="Arial" w:hAnsi="Arial" w:cs="Arial"/>
                <w:sz w:val="19"/>
                <w:szCs w:val="19"/>
              </w:rPr>
              <w:t>DIANA DEL CARMEN SANDOVAL ARAMBURO</w:t>
            </w:r>
            <w:r w:rsidR="00C32CA2" w:rsidRPr="00A17E35">
              <w:rPr>
                <w:rFonts w:ascii="Arial" w:hAnsi="Arial" w:cs="Arial"/>
                <w:sz w:val="19"/>
                <w:szCs w:val="19"/>
              </w:rPr>
              <w:t xml:space="preserve"> </w:t>
            </w:r>
          </w:p>
          <w:p w14:paraId="5DC0D4D1" w14:textId="64F27268" w:rsidR="00C32CA2" w:rsidRPr="00A17E35" w:rsidRDefault="00C32CA2" w:rsidP="00324444">
            <w:pPr>
              <w:pStyle w:val="Sinespaciado"/>
              <w:jc w:val="both"/>
              <w:rPr>
                <w:rFonts w:ascii="Arial" w:hAnsi="Arial" w:cs="Arial"/>
                <w:sz w:val="19"/>
                <w:szCs w:val="19"/>
              </w:rPr>
            </w:pPr>
            <w:r w:rsidRPr="00A17E35">
              <w:rPr>
                <w:rFonts w:ascii="Arial" w:hAnsi="Arial" w:cs="Arial"/>
                <w:sz w:val="19"/>
                <w:szCs w:val="19"/>
              </w:rPr>
              <w:t>Subdirector</w:t>
            </w:r>
            <w:r w:rsidR="00D95069">
              <w:rPr>
                <w:rFonts w:ascii="Arial" w:hAnsi="Arial" w:cs="Arial"/>
                <w:sz w:val="19"/>
                <w:szCs w:val="19"/>
              </w:rPr>
              <w:t>a</w:t>
            </w:r>
            <w:r w:rsidRPr="00A17E35">
              <w:rPr>
                <w:rFonts w:ascii="Arial" w:hAnsi="Arial" w:cs="Arial"/>
                <w:sz w:val="19"/>
                <w:szCs w:val="19"/>
              </w:rPr>
              <w:t xml:space="preserve"> de </w:t>
            </w:r>
            <w:r w:rsidR="00D95069">
              <w:rPr>
                <w:rFonts w:ascii="Arial" w:hAnsi="Arial" w:cs="Arial"/>
                <w:sz w:val="19"/>
                <w:szCs w:val="19"/>
              </w:rPr>
              <w:t>Contratación</w:t>
            </w:r>
            <w:r w:rsidRPr="00A17E35">
              <w:rPr>
                <w:rFonts w:ascii="Arial" w:hAnsi="Arial" w:cs="Arial"/>
                <w:sz w:val="19"/>
                <w:szCs w:val="19"/>
              </w:rPr>
              <w:t xml:space="preserve"> </w:t>
            </w:r>
          </w:p>
          <w:p w14:paraId="49B134C9" w14:textId="77777777" w:rsidR="00C32CA2" w:rsidRPr="00A17E35" w:rsidRDefault="00C32CA2" w:rsidP="00324444">
            <w:pPr>
              <w:pStyle w:val="Sinespaciado"/>
              <w:jc w:val="both"/>
              <w:rPr>
                <w:rFonts w:ascii="Arial" w:hAnsi="Arial" w:cs="Arial"/>
                <w:sz w:val="19"/>
                <w:szCs w:val="19"/>
              </w:rPr>
            </w:pPr>
            <w:r w:rsidRPr="00A17E35">
              <w:rPr>
                <w:rFonts w:ascii="Arial" w:hAnsi="Arial" w:cs="Arial"/>
                <w:sz w:val="19"/>
                <w:szCs w:val="19"/>
              </w:rPr>
              <w:t>Departamento Administrativo para la Prosperidad Social</w:t>
            </w:r>
          </w:p>
          <w:p w14:paraId="2E42DB36" w14:textId="77777777" w:rsidR="00C32CA2" w:rsidRDefault="00C32CA2" w:rsidP="00A14088">
            <w:pPr>
              <w:rPr>
                <w:rFonts w:ascii="Arial" w:hAnsi="Arial" w:cs="Arial"/>
                <w:b/>
                <w:sz w:val="19"/>
                <w:szCs w:val="19"/>
              </w:rPr>
            </w:pPr>
          </w:p>
          <w:p w14:paraId="55E07870" w14:textId="77777777" w:rsidR="0017643A" w:rsidRDefault="0017643A" w:rsidP="00A14088">
            <w:pPr>
              <w:rPr>
                <w:rFonts w:ascii="Arial" w:hAnsi="Arial" w:cs="Arial"/>
                <w:b/>
                <w:sz w:val="19"/>
                <w:szCs w:val="19"/>
              </w:rPr>
            </w:pPr>
            <w:r w:rsidRPr="0017643A">
              <w:rPr>
                <w:rFonts w:ascii="Verdana" w:hAnsi="Verdana"/>
                <w:i/>
                <w:sz w:val="14"/>
                <w:szCs w:val="14"/>
              </w:rPr>
              <w:t xml:space="preserve">Aprobó: Diana Alexandra </w:t>
            </w:r>
            <w:r w:rsidR="0094328F" w:rsidRPr="0017643A">
              <w:rPr>
                <w:rFonts w:ascii="Verdana" w:hAnsi="Verdana"/>
                <w:i/>
                <w:sz w:val="14"/>
                <w:szCs w:val="14"/>
              </w:rPr>
              <w:t>Chávez</w:t>
            </w:r>
            <w:r w:rsidRPr="0017643A">
              <w:rPr>
                <w:rFonts w:ascii="Verdana" w:hAnsi="Verdana"/>
                <w:i/>
                <w:sz w:val="14"/>
                <w:szCs w:val="14"/>
              </w:rPr>
              <w:t xml:space="preserve"> Quirog</w:t>
            </w:r>
            <w:r>
              <w:rPr>
                <w:rFonts w:ascii="Verdana" w:hAnsi="Verdana"/>
                <w:i/>
                <w:sz w:val="14"/>
                <w:szCs w:val="14"/>
              </w:rPr>
              <w:t>a</w:t>
            </w:r>
          </w:p>
          <w:p w14:paraId="5425B63B" w14:textId="5CD22FF5" w:rsidR="00A548B4" w:rsidRDefault="00A14088" w:rsidP="005C59E0">
            <w:pPr>
              <w:rPr>
                <w:rFonts w:ascii="Verdana" w:hAnsi="Verdana"/>
                <w:i/>
                <w:sz w:val="14"/>
                <w:szCs w:val="14"/>
              </w:rPr>
            </w:pPr>
            <w:r w:rsidRPr="00440FEC">
              <w:rPr>
                <w:rFonts w:ascii="Verdana" w:hAnsi="Verdana"/>
                <w:i/>
                <w:sz w:val="14"/>
                <w:szCs w:val="14"/>
              </w:rPr>
              <w:t xml:space="preserve">Revisó: </w:t>
            </w:r>
            <w:r w:rsidR="00D95069">
              <w:rPr>
                <w:rFonts w:ascii="Verdana" w:hAnsi="Verdana"/>
                <w:i/>
                <w:sz w:val="14"/>
                <w:szCs w:val="14"/>
              </w:rPr>
              <w:t>Johanna Patricia Ocando</w:t>
            </w:r>
          </w:p>
          <w:p w14:paraId="6724A192" w14:textId="6F822E00" w:rsidR="00A548B4" w:rsidRPr="00A548B4" w:rsidRDefault="00A548B4" w:rsidP="00A548B4">
            <w:pPr>
              <w:rPr>
                <w:rFonts w:ascii="Verdana" w:hAnsi="Verdana"/>
                <w:i/>
                <w:sz w:val="14"/>
                <w:szCs w:val="14"/>
              </w:rPr>
            </w:pPr>
            <w:r w:rsidRPr="00A548B4">
              <w:rPr>
                <w:rFonts w:ascii="Verdana" w:hAnsi="Verdana"/>
                <w:i/>
                <w:sz w:val="14"/>
                <w:szCs w:val="14"/>
              </w:rPr>
              <w:t xml:space="preserve">Revisó: </w:t>
            </w:r>
            <w:r>
              <w:rPr>
                <w:rFonts w:ascii="Verdana" w:hAnsi="Verdana"/>
                <w:i/>
                <w:sz w:val="14"/>
                <w:szCs w:val="14"/>
              </w:rPr>
              <w:t>Diego Felipe Romero Castañeda</w:t>
            </w:r>
          </w:p>
          <w:p w14:paraId="0686AE56" w14:textId="5C41FDDE" w:rsidR="00A548B4" w:rsidRDefault="00A548B4" w:rsidP="005C59E0">
            <w:pPr>
              <w:rPr>
                <w:rFonts w:ascii="Verdana" w:hAnsi="Verdana"/>
                <w:i/>
                <w:sz w:val="14"/>
                <w:szCs w:val="14"/>
              </w:rPr>
            </w:pPr>
            <w:r w:rsidRPr="00A548B4">
              <w:rPr>
                <w:rFonts w:ascii="Verdana" w:hAnsi="Verdana"/>
                <w:i/>
                <w:sz w:val="14"/>
                <w:szCs w:val="14"/>
              </w:rPr>
              <w:t>Revisó: Johanna Patricia Ocando</w:t>
            </w:r>
          </w:p>
          <w:p w14:paraId="73D82F3C" w14:textId="7B800F54" w:rsidR="00A14088" w:rsidRDefault="00A14088" w:rsidP="005C59E0">
            <w:pPr>
              <w:rPr>
                <w:rFonts w:ascii="Verdana" w:hAnsi="Verdana"/>
                <w:i/>
                <w:sz w:val="14"/>
                <w:szCs w:val="14"/>
              </w:rPr>
            </w:pPr>
            <w:r>
              <w:rPr>
                <w:rFonts w:ascii="Verdana" w:hAnsi="Verdana"/>
                <w:i/>
                <w:sz w:val="14"/>
                <w:szCs w:val="14"/>
              </w:rPr>
              <w:t>Proyectó:</w:t>
            </w:r>
            <w:r w:rsidR="008928D2">
              <w:rPr>
                <w:rFonts w:ascii="Verdana" w:hAnsi="Verdana"/>
                <w:i/>
                <w:sz w:val="14"/>
                <w:szCs w:val="14"/>
              </w:rPr>
              <w:t xml:space="preserve"> </w:t>
            </w:r>
            <w:r w:rsidR="00D95069">
              <w:rPr>
                <w:rFonts w:ascii="Verdana" w:hAnsi="Verdana"/>
                <w:i/>
                <w:sz w:val="14"/>
                <w:szCs w:val="14"/>
              </w:rPr>
              <w:t>William Andrés Castaño España</w:t>
            </w:r>
            <w:r w:rsidR="00374BC6">
              <w:rPr>
                <w:rFonts w:ascii="Verdana" w:hAnsi="Verdana"/>
                <w:i/>
                <w:sz w:val="14"/>
                <w:szCs w:val="14"/>
              </w:rPr>
              <w:t xml:space="preserve"> </w:t>
            </w:r>
          </w:p>
          <w:p w14:paraId="0ACC8771" w14:textId="402C0568" w:rsidR="00A548B4" w:rsidRPr="00A17E35" w:rsidRDefault="00A548B4" w:rsidP="005C59E0">
            <w:pPr>
              <w:rPr>
                <w:rFonts w:ascii="Arial" w:hAnsi="Arial" w:cs="Arial"/>
                <w:b/>
                <w:sz w:val="19"/>
                <w:szCs w:val="19"/>
              </w:rPr>
            </w:pPr>
          </w:p>
        </w:tc>
      </w:tr>
    </w:tbl>
    <w:p w14:paraId="0C323CBD" w14:textId="77777777" w:rsidR="009C0D2F" w:rsidRDefault="009C0D2F" w:rsidP="006311A5"/>
    <w:sectPr w:rsidR="009C0D2F" w:rsidSect="003B1933">
      <w:headerReference w:type="default" r:id="rId7"/>
      <w:footerReference w:type="even" r:id="rId8"/>
      <w:footerReference w:type="default" r:id="rId9"/>
      <w:headerReference w:type="first" r:id="rId10"/>
      <w:footerReference w:type="first" r:id="rId11"/>
      <w:pgSz w:w="12242" w:h="15842" w:code="1"/>
      <w:pgMar w:top="567" w:right="1134" w:bottom="567" w:left="1134" w:header="567" w:footer="284" w:gutter="0"/>
      <w:paperSrc w:first="259" w:other="259"/>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942E" w14:textId="77777777" w:rsidR="005F0870" w:rsidRDefault="005F0870">
      <w:r>
        <w:separator/>
      </w:r>
    </w:p>
  </w:endnote>
  <w:endnote w:type="continuationSeparator" w:id="0">
    <w:p w14:paraId="0FD0027F" w14:textId="77777777" w:rsidR="005F0870" w:rsidRDefault="005F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ABFA" w14:textId="77777777" w:rsidR="009F7A33" w:rsidRDefault="004C5E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A36B2A" w14:textId="77777777" w:rsidR="009F7A33" w:rsidRDefault="005F087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2C1F" w14:textId="77777777" w:rsidR="009F7A33" w:rsidRDefault="004C5EFC">
    <w:pPr>
      <w:pStyle w:val="Piedepgina"/>
      <w:ind w:right="-24"/>
      <w:jc w:val="right"/>
      <w:rPr>
        <w:rFonts w:ascii="Arial" w:hAnsi="Arial"/>
        <w:sz w:val="16"/>
      </w:rPr>
    </w:pPr>
    <w:r>
      <w:rPr>
        <w:rFonts w:ascii="Arial" w:hAnsi="Arial"/>
        <w:noProof/>
        <w:sz w:val="16"/>
        <w:lang w:val="es-CO" w:eastAsia="es-CO"/>
      </w:rPr>
      <mc:AlternateContent>
        <mc:Choice Requires="wps">
          <w:drawing>
            <wp:anchor distT="0" distB="0" distL="114300" distR="114300" simplePos="0" relativeHeight="251658240" behindDoc="0" locked="0" layoutInCell="0" allowOverlap="1" wp14:anchorId="355C52B4" wp14:editId="31DD8A6D">
              <wp:simplePos x="0" y="0"/>
              <wp:positionH relativeFrom="column">
                <wp:posOffset>-97155</wp:posOffset>
              </wp:positionH>
              <wp:positionV relativeFrom="paragraph">
                <wp:posOffset>-13335</wp:posOffset>
              </wp:positionV>
              <wp:extent cx="6515100" cy="3175"/>
              <wp:effectExtent l="7620" t="5715" r="11430" b="1016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31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D6165E" id="Conector recto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05pt" to="505.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" o:allowincell="f"/>
          </w:pict>
        </mc:Fallback>
      </mc:AlternateContent>
    </w:r>
    <w:r>
      <w:rPr>
        <w:rStyle w:val="Nmerodepgina"/>
        <w:rFonts w:ascii="Arial" w:hAnsi="Arial"/>
        <w:sz w:val="16"/>
      </w:rPr>
      <w:t xml:space="preserve">Página </w:t>
    </w:r>
    <w:r>
      <w:rPr>
        <w:rStyle w:val="Nmerodepgina"/>
        <w:sz w:val="16"/>
      </w:rPr>
      <w:fldChar w:fldCharType="begin"/>
    </w:r>
    <w:r>
      <w:rPr>
        <w:rStyle w:val="Nmerodepgina"/>
        <w:sz w:val="16"/>
      </w:rPr>
      <w:instrText xml:space="preserve"> PAGE </w:instrText>
    </w:r>
    <w:r>
      <w:rPr>
        <w:rStyle w:val="Nmerodepgina"/>
        <w:sz w:val="16"/>
      </w:rPr>
      <w:fldChar w:fldCharType="separate"/>
    </w:r>
    <w:r w:rsidR="00A14088">
      <w:rPr>
        <w:rStyle w:val="Nmerodepgina"/>
        <w:noProof/>
        <w:sz w:val="16"/>
      </w:rPr>
      <w:t>1</w:t>
    </w:r>
    <w:r>
      <w:rPr>
        <w:rStyle w:val="Nmerodepgina"/>
        <w:sz w:val="16"/>
      </w:rPr>
      <w:fldChar w:fldCharType="end"/>
    </w:r>
    <w:r>
      <w:rPr>
        <w:rStyle w:val="Nmerodepgina"/>
        <w:sz w:val="16"/>
      </w:rPr>
      <w:t xml:space="preserve"> </w:t>
    </w:r>
    <w:r>
      <w:rPr>
        <w:rStyle w:val="Nmerodepgina"/>
        <w:rFonts w:ascii="Arial" w:hAnsi="Arial"/>
        <w:sz w:val="16"/>
      </w:rPr>
      <w:t>de</w:t>
    </w:r>
    <w:r>
      <w:rPr>
        <w:rStyle w:val="Nmerodepgina"/>
        <w:rFonts w:ascii="Arial" w:hAnsi="Arial"/>
        <w:sz w:val="16"/>
      </w:rPr>
      <w:fldChar w:fldCharType="begin"/>
    </w:r>
    <w:r>
      <w:rPr>
        <w:rStyle w:val="Nmerodepgina"/>
        <w:rFonts w:ascii="Arial" w:hAnsi="Arial"/>
        <w:sz w:val="16"/>
      </w:rPr>
      <w:instrText xml:space="preserve"> NUMPAGES </w:instrText>
    </w:r>
    <w:r>
      <w:rPr>
        <w:rStyle w:val="Nmerodepgina"/>
        <w:rFonts w:ascii="Arial" w:hAnsi="Arial"/>
        <w:sz w:val="16"/>
      </w:rPr>
      <w:fldChar w:fldCharType="separate"/>
    </w:r>
    <w:r w:rsidR="00A14088">
      <w:rPr>
        <w:rStyle w:val="Nmerodepgina"/>
        <w:rFonts w:ascii="Arial" w:hAnsi="Arial"/>
        <w:noProof/>
        <w:sz w:val="16"/>
      </w:rPr>
      <w:t>3</w:t>
    </w:r>
    <w:r>
      <w:rPr>
        <w:rStyle w:val="Nmerodepgina"/>
        <w:rFonts w:ascii="Arial" w:hAnsi="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085C" w14:textId="77777777" w:rsidR="009F7A33" w:rsidRDefault="004C5EFC">
    <w:pPr>
      <w:pStyle w:val="Piedepgina"/>
      <w:jc w:val="right"/>
      <w:rPr>
        <w:rFonts w:ascii="Arial" w:hAnsi="Arial"/>
        <w:lang w:val="es-CO"/>
      </w:rPr>
    </w:pPr>
    <w:r>
      <w:rPr>
        <w:rFonts w:ascii="Arial" w:hAnsi="Arial"/>
        <w:lang w:val="es-CO"/>
      </w:rPr>
      <w:t xml:space="preserve">Pag 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C7A0" w14:textId="77777777" w:rsidR="005F0870" w:rsidRDefault="005F0870">
      <w:r>
        <w:separator/>
      </w:r>
    </w:p>
  </w:footnote>
  <w:footnote w:type="continuationSeparator" w:id="0">
    <w:p w14:paraId="3F7B8EEA" w14:textId="77777777" w:rsidR="005F0870" w:rsidRDefault="005F0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FA96" w14:textId="77777777" w:rsidR="009F7A33" w:rsidRDefault="004C5EFC" w:rsidP="004E709E">
    <w:pPr>
      <w:pStyle w:val="Encabezado"/>
      <w:jc w:val="center"/>
      <w:rPr>
        <w:lang w:val="es-CO"/>
      </w:rPr>
    </w:pPr>
    <w:r w:rsidRPr="001E5E6F">
      <w:rPr>
        <w:noProof/>
        <w:lang w:val="es-CO" w:eastAsia="es-CO"/>
      </w:rPr>
      <w:drawing>
        <wp:inline distT="0" distB="0" distL="0" distR="0" wp14:anchorId="6C94F3EE" wp14:editId="295ECFF2">
          <wp:extent cx="4587240" cy="65341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7240" cy="653415"/>
                  </a:xfrm>
                  <a:prstGeom prst="rect">
                    <a:avLst/>
                  </a:prstGeom>
                  <a:noFill/>
                  <a:ln>
                    <a:noFill/>
                  </a:ln>
                </pic:spPr>
              </pic:pic>
            </a:graphicData>
          </a:graphic>
        </wp:inline>
      </w:drawing>
    </w:r>
  </w:p>
  <w:p w14:paraId="68A71372" w14:textId="77777777" w:rsidR="009F7A33" w:rsidRDefault="005F0870">
    <w:pPr>
      <w:pStyle w:val="Encabezado"/>
      <w:rPr>
        <w:lang w:val="es-CO"/>
      </w:rPr>
    </w:pPr>
  </w:p>
  <w:p w14:paraId="6CA1FD23" w14:textId="77777777" w:rsidR="009F7A33" w:rsidRDefault="005F0870" w:rsidP="00E101F1">
    <w:pPr>
      <w:pStyle w:val="Encabezado"/>
      <w:jc w:val="center"/>
      <w:rPr>
        <w:lang w:val="es-CO"/>
      </w:rPr>
    </w:pPr>
  </w:p>
  <w:p w14:paraId="1D792A2B" w14:textId="77777777" w:rsidR="009F7A33" w:rsidRPr="00F2459E" w:rsidRDefault="005F0870">
    <w:pPr>
      <w:pStyle w:val="Encabezado"/>
      <w:rPr>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6289"/>
      <w:gridCol w:w="2070"/>
    </w:tblGrid>
    <w:tr w:rsidR="009F7A33" w14:paraId="60A0F5E2" w14:textId="77777777">
      <w:trPr>
        <w:cantSplit/>
        <w:trHeight w:val="705"/>
      </w:trPr>
      <w:tc>
        <w:tcPr>
          <w:tcW w:w="1701" w:type="dxa"/>
          <w:vMerge w:val="restart"/>
          <w:vAlign w:val="center"/>
        </w:tcPr>
        <w:p w14:paraId="079CFC89" w14:textId="77777777" w:rsidR="009F7A33" w:rsidRDefault="004C5EFC">
          <w:pPr>
            <w:jc w:val="center"/>
            <w:rPr>
              <w:noProof/>
            </w:rPr>
          </w:pPr>
          <w:r>
            <w:rPr>
              <w:noProof/>
              <w:lang w:val="es-CO" w:eastAsia="es-CO"/>
            </w:rPr>
            <w:drawing>
              <wp:anchor distT="0" distB="0" distL="114300" distR="114300" simplePos="0" relativeHeight="251659264" behindDoc="0" locked="0" layoutInCell="0" allowOverlap="1" wp14:anchorId="1B143292" wp14:editId="70E4BCA4">
                <wp:simplePos x="0" y="0"/>
                <wp:positionH relativeFrom="column">
                  <wp:posOffset>211455</wp:posOffset>
                </wp:positionH>
                <wp:positionV relativeFrom="paragraph">
                  <wp:posOffset>45085</wp:posOffset>
                </wp:positionV>
                <wp:extent cx="594360" cy="749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749300"/>
                        </a:xfrm>
                        <a:prstGeom prst="rect">
                          <a:avLst/>
                        </a:prstGeom>
                        <a:noFill/>
                      </pic:spPr>
                    </pic:pic>
                  </a:graphicData>
                </a:graphic>
                <wp14:sizeRelH relativeFrom="page">
                  <wp14:pctWidth>0</wp14:pctWidth>
                </wp14:sizeRelH>
                <wp14:sizeRelV relativeFrom="page">
                  <wp14:pctHeight>0</wp14:pctHeight>
                </wp14:sizeRelV>
              </wp:anchor>
            </w:drawing>
          </w:r>
        </w:p>
      </w:tc>
      <w:tc>
        <w:tcPr>
          <w:tcW w:w="6289" w:type="dxa"/>
          <w:vMerge w:val="restart"/>
          <w:vAlign w:val="center"/>
        </w:tcPr>
        <w:p w14:paraId="2C90C214" w14:textId="77777777" w:rsidR="009F7A33" w:rsidRDefault="004C5EFC">
          <w:pPr>
            <w:jc w:val="center"/>
            <w:rPr>
              <w:sz w:val="24"/>
              <w:lang w:val="es-MX"/>
            </w:rPr>
          </w:pPr>
          <w:r>
            <w:rPr>
              <w:rFonts w:ascii="Arial" w:hAnsi="Arial"/>
              <w:b/>
              <w:sz w:val="24"/>
            </w:rPr>
            <w:t>NOMBRE DEL DOCUMENTO</w:t>
          </w:r>
        </w:p>
      </w:tc>
      <w:tc>
        <w:tcPr>
          <w:tcW w:w="2070" w:type="dxa"/>
          <w:vAlign w:val="center"/>
        </w:tcPr>
        <w:p w14:paraId="4872367B" w14:textId="77777777" w:rsidR="009F7A33" w:rsidRDefault="004C5EFC">
          <w:pPr>
            <w:pStyle w:val="Ttulo2"/>
            <w:jc w:val="left"/>
            <w:rPr>
              <w:sz w:val="20"/>
            </w:rPr>
          </w:pPr>
          <w:r>
            <w:rPr>
              <w:sz w:val="20"/>
            </w:rPr>
            <w:t xml:space="preserve">Código: </w:t>
          </w:r>
        </w:p>
      </w:tc>
    </w:tr>
    <w:tr w:rsidR="009F7A33" w14:paraId="32FCE2BE" w14:textId="77777777">
      <w:trPr>
        <w:cantSplit/>
        <w:trHeight w:val="560"/>
      </w:trPr>
      <w:tc>
        <w:tcPr>
          <w:tcW w:w="1701" w:type="dxa"/>
          <w:vMerge/>
          <w:tcBorders>
            <w:bottom w:val="nil"/>
          </w:tcBorders>
          <w:vAlign w:val="center"/>
        </w:tcPr>
        <w:p w14:paraId="1A05B9D8" w14:textId="77777777" w:rsidR="009F7A33" w:rsidRDefault="005F0870">
          <w:pPr>
            <w:jc w:val="center"/>
            <w:rPr>
              <w:noProof/>
            </w:rPr>
          </w:pPr>
        </w:p>
      </w:tc>
      <w:tc>
        <w:tcPr>
          <w:tcW w:w="6289" w:type="dxa"/>
          <w:vMerge/>
          <w:vAlign w:val="center"/>
        </w:tcPr>
        <w:p w14:paraId="68B745AB" w14:textId="77777777" w:rsidR="009F7A33" w:rsidRDefault="005F0870">
          <w:pPr>
            <w:jc w:val="center"/>
            <w:rPr>
              <w:b/>
              <w:lang w:val="es-MX"/>
            </w:rPr>
          </w:pPr>
        </w:p>
      </w:tc>
      <w:tc>
        <w:tcPr>
          <w:tcW w:w="2070" w:type="dxa"/>
          <w:vAlign w:val="center"/>
        </w:tcPr>
        <w:p w14:paraId="59F8A5C8" w14:textId="77777777" w:rsidR="009F7A33" w:rsidRDefault="004C5EFC">
          <w:pPr>
            <w:rPr>
              <w:rFonts w:ascii="Arial" w:hAnsi="Arial"/>
              <w:lang w:val="es-MX"/>
            </w:rPr>
          </w:pPr>
          <w:r>
            <w:rPr>
              <w:rFonts w:ascii="Arial" w:hAnsi="Arial"/>
              <w:lang w:val="es-MX"/>
            </w:rPr>
            <w:t>Versión : 1.0</w:t>
          </w:r>
        </w:p>
      </w:tc>
    </w:tr>
    <w:tr w:rsidR="009F7A33" w14:paraId="3ED61170" w14:textId="77777777">
      <w:trPr>
        <w:cantSplit/>
        <w:trHeight w:val="114"/>
      </w:trPr>
      <w:tc>
        <w:tcPr>
          <w:tcW w:w="1701" w:type="dxa"/>
          <w:vAlign w:val="center"/>
        </w:tcPr>
        <w:p w14:paraId="2A935AE2" w14:textId="77777777" w:rsidR="009F7A33" w:rsidRDefault="004C5EFC">
          <w:pPr>
            <w:pStyle w:val="Textoindependiente"/>
            <w:jc w:val="center"/>
            <w:rPr>
              <w:b/>
              <w:sz w:val="16"/>
            </w:rPr>
          </w:pPr>
          <w:r>
            <w:rPr>
              <w:b/>
              <w:sz w:val="16"/>
            </w:rPr>
            <w:t>Ministerio de Minas y Energía</w:t>
          </w:r>
        </w:p>
        <w:p w14:paraId="72124AFE" w14:textId="77777777" w:rsidR="009F7A33" w:rsidRDefault="004C5EFC">
          <w:pPr>
            <w:jc w:val="center"/>
            <w:rPr>
              <w:noProof/>
              <w:sz w:val="12"/>
            </w:rPr>
          </w:pPr>
          <w:r>
            <w:rPr>
              <w:rFonts w:ascii="Arial" w:hAnsi="Arial"/>
              <w:b/>
              <w:noProof/>
              <w:sz w:val="12"/>
            </w:rPr>
            <w:t>Republica de Colombia</w:t>
          </w:r>
        </w:p>
      </w:tc>
      <w:tc>
        <w:tcPr>
          <w:tcW w:w="6289" w:type="dxa"/>
          <w:vMerge/>
          <w:vAlign w:val="center"/>
        </w:tcPr>
        <w:p w14:paraId="42D3E9A2" w14:textId="77777777" w:rsidR="009F7A33" w:rsidRDefault="005F0870">
          <w:pPr>
            <w:jc w:val="center"/>
            <w:rPr>
              <w:b/>
              <w:lang w:val="es-MX"/>
            </w:rPr>
          </w:pPr>
        </w:p>
      </w:tc>
      <w:tc>
        <w:tcPr>
          <w:tcW w:w="2070" w:type="dxa"/>
          <w:vAlign w:val="center"/>
        </w:tcPr>
        <w:p w14:paraId="56B6D354" w14:textId="77777777" w:rsidR="009F7A33" w:rsidRDefault="004C5EFC">
          <w:pPr>
            <w:rPr>
              <w:rFonts w:ascii="Arial" w:hAnsi="Arial"/>
              <w:lang w:val="es-MX"/>
            </w:rPr>
          </w:pPr>
          <w:r>
            <w:rPr>
              <w:rFonts w:ascii="Arial" w:hAnsi="Arial"/>
              <w:lang w:val="es-MX"/>
            </w:rPr>
            <w:t xml:space="preserve">Fecha: </w:t>
          </w:r>
        </w:p>
      </w:tc>
    </w:tr>
  </w:tbl>
  <w:p w14:paraId="3567B9F3" w14:textId="77777777" w:rsidR="009F7A33" w:rsidRDefault="005F0870">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A23DD"/>
    <w:multiLevelType w:val="hybridMultilevel"/>
    <w:tmpl w:val="4126D8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C54918"/>
    <w:multiLevelType w:val="hybridMultilevel"/>
    <w:tmpl w:val="BCF6C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35E650D"/>
    <w:multiLevelType w:val="hybridMultilevel"/>
    <w:tmpl w:val="B4187AA8"/>
    <w:lvl w:ilvl="0" w:tplc="7FD8FA22">
      <w:start w:val="1"/>
      <w:numFmt w:val="lowerLetter"/>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3" w15:restartNumberingAfterBreak="0">
    <w:nsid w:val="78C20A16"/>
    <w:multiLevelType w:val="hybridMultilevel"/>
    <w:tmpl w:val="3984DB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A2"/>
    <w:rsid w:val="00141851"/>
    <w:rsid w:val="00151C49"/>
    <w:rsid w:val="001537CE"/>
    <w:rsid w:val="0016003D"/>
    <w:rsid w:val="001724F7"/>
    <w:rsid w:val="0017643A"/>
    <w:rsid w:val="001A25E1"/>
    <w:rsid w:val="001B25E3"/>
    <w:rsid w:val="001C695B"/>
    <w:rsid w:val="001D42AC"/>
    <w:rsid w:val="001F4351"/>
    <w:rsid w:val="00216D0D"/>
    <w:rsid w:val="002B249F"/>
    <w:rsid w:val="002F7EC4"/>
    <w:rsid w:val="003359EF"/>
    <w:rsid w:val="00374BC6"/>
    <w:rsid w:val="003970A7"/>
    <w:rsid w:val="003A4E51"/>
    <w:rsid w:val="003F3C63"/>
    <w:rsid w:val="00423836"/>
    <w:rsid w:val="00434672"/>
    <w:rsid w:val="00484625"/>
    <w:rsid w:val="004C5EFC"/>
    <w:rsid w:val="0055767A"/>
    <w:rsid w:val="005A19D1"/>
    <w:rsid w:val="005A1EF5"/>
    <w:rsid w:val="005A7874"/>
    <w:rsid w:val="005C59E0"/>
    <w:rsid w:val="005D292F"/>
    <w:rsid w:val="005E2CD5"/>
    <w:rsid w:val="005F0870"/>
    <w:rsid w:val="006311A5"/>
    <w:rsid w:val="00635550"/>
    <w:rsid w:val="00687826"/>
    <w:rsid w:val="006B5E5B"/>
    <w:rsid w:val="006E0EE3"/>
    <w:rsid w:val="00703987"/>
    <w:rsid w:val="00853585"/>
    <w:rsid w:val="008729E5"/>
    <w:rsid w:val="00872DEA"/>
    <w:rsid w:val="008927F8"/>
    <w:rsid w:val="008928D2"/>
    <w:rsid w:val="008B5CFF"/>
    <w:rsid w:val="008F4503"/>
    <w:rsid w:val="0094328F"/>
    <w:rsid w:val="009B3578"/>
    <w:rsid w:val="009C0D2F"/>
    <w:rsid w:val="009C40DB"/>
    <w:rsid w:val="009D70A9"/>
    <w:rsid w:val="009F1AB6"/>
    <w:rsid w:val="00A10652"/>
    <w:rsid w:val="00A14088"/>
    <w:rsid w:val="00A52F65"/>
    <w:rsid w:val="00A548B4"/>
    <w:rsid w:val="00AA137C"/>
    <w:rsid w:val="00B4543F"/>
    <w:rsid w:val="00BA465B"/>
    <w:rsid w:val="00BA652C"/>
    <w:rsid w:val="00BE35E2"/>
    <w:rsid w:val="00BF03F9"/>
    <w:rsid w:val="00BF473F"/>
    <w:rsid w:val="00C21DF3"/>
    <w:rsid w:val="00C22E2C"/>
    <w:rsid w:val="00C32CA2"/>
    <w:rsid w:val="00C926F3"/>
    <w:rsid w:val="00CD58F2"/>
    <w:rsid w:val="00CD5E3C"/>
    <w:rsid w:val="00D311A8"/>
    <w:rsid w:val="00D51798"/>
    <w:rsid w:val="00D530C7"/>
    <w:rsid w:val="00D928C1"/>
    <w:rsid w:val="00D95069"/>
    <w:rsid w:val="00DA1038"/>
    <w:rsid w:val="00E22061"/>
    <w:rsid w:val="00EC39AF"/>
    <w:rsid w:val="00ED3305"/>
    <w:rsid w:val="00F25634"/>
    <w:rsid w:val="00F848A9"/>
    <w:rsid w:val="00F95534"/>
    <w:rsid w:val="00FA3E11"/>
    <w:rsid w:val="00FC62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3F53"/>
  <w15:docId w15:val="{06D19C9F-E5E0-4403-989A-25B26ACE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CA2"/>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C32CA2"/>
    <w:pPr>
      <w:keepNext/>
      <w:jc w:val="center"/>
      <w:outlineLvl w:val="1"/>
    </w:pPr>
    <w:rPr>
      <w:rFonts w:ascii="Arial" w:hAnsi="Arial"/>
      <w:sz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32CA2"/>
    <w:rPr>
      <w:rFonts w:ascii="Arial" w:eastAsia="Times New Roman" w:hAnsi="Arial" w:cs="Times New Roman"/>
      <w:sz w:val="24"/>
      <w:szCs w:val="20"/>
      <w:lang w:val="es-ES_tradnl" w:eastAsia="es-ES"/>
    </w:rPr>
  </w:style>
  <w:style w:type="paragraph" w:styleId="Encabezado">
    <w:name w:val="header"/>
    <w:basedOn w:val="Normal"/>
    <w:link w:val="EncabezadoCar"/>
    <w:uiPriority w:val="99"/>
    <w:rsid w:val="00C32CA2"/>
    <w:pPr>
      <w:tabs>
        <w:tab w:val="center" w:pos="4252"/>
        <w:tab w:val="right" w:pos="8504"/>
      </w:tabs>
    </w:pPr>
  </w:style>
  <w:style w:type="character" w:customStyle="1" w:styleId="EncabezadoCar">
    <w:name w:val="Encabezado Car"/>
    <w:basedOn w:val="Fuentedeprrafopredeter"/>
    <w:link w:val="Encabezado"/>
    <w:uiPriority w:val="99"/>
    <w:rsid w:val="00C32CA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C32CA2"/>
    <w:pPr>
      <w:tabs>
        <w:tab w:val="center" w:pos="4252"/>
        <w:tab w:val="right" w:pos="8504"/>
      </w:tabs>
    </w:pPr>
  </w:style>
  <w:style w:type="character" w:customStyle="1" w:styleId="PiedepginaCar">
    <w:name w:val="Pie de página Car"/>
    <w:basedOn w:val="Fuentedeprrafopredeter"/>
    <w:link w:val="Piedepgina"/>
    <w:rsid w:val="00C32CA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32CA2"/>
  </w:style>
  <w:style w:type="paragraph" w:styleId="Textoindependiente">
    <w:name w:val="Body Text"/>
    <w:basedOn w:val="Normal"/>
    <w:link w:val="TextoindependienteCar"/>
    <w:rsid w:val="00C32CA2"/>
    <w:pPr>
      <w:jc w:val="both"/>
    </w:pPr>
    <w:rPr>
      <w:rFonts w:ascii="Arial" w:hAnsi="Arial"/>
      <w:sz w:val="24"/>
      <w:lang w:val="es-ES_tradnl"/>
    </w:rPr>
  </w:style>
  <w:style w:type="character" w:customStyle="1" w:styleId="TextoindependienteCar">
    <w:name w:val="Texto independiente Car"/>
    <w:basedOn w:val="Fuentedeprrafopredeter"/>
    <w:link w:val="Textoindependiente"/>
    <w:rsid w:val="00C32CA2"/>
    <w:rPr>
      <w:rFonts w:ascii="Arial" w:eastAsia="Times New Roman" w:hAnsi="Arial" w:cs="Times New Roman"/>
      <w:sz w:val="24"/>
      <w:szCs w:val="20"/>
      <w:lang w:val="es-ES_tradnl" w:eastAsia="es-ES"/>
    </w:rPr>
  </w:style>
  <w:style w:type="paragraph" w:styleId="Sinespaciado">
    <w:name w:val="No Spacing"/>
    <w:uiPriority w:val="1"/>
    <w:qFormat/>
    <w:rsid w:val="00C32CA2"/>
    <w:pPr>
      <w:spacing w:after="0" w:line="240" w:lineRule="auto"/>
    </w:pPr>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DA10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1038"/>
    <w:rPr>
      <w:rFonts w:ascii="Segoe UI" w:eastAsia="Times New Roman" w:hAnsi="Segoe UI" w:cs="Segoe UI"/>
      <w:sz w:val="18"/>
      <w:szCs w:val="18"/>
      <w:lang w:val="es-ES" w:eastAsia="es-ES"/>
    </w:rPr>
  </w:style>
  <w:style w:type="paragraph" w:styleId="Prrafodelista">
    <w:name w:val="List Paragraph"/>
    <w:basedOn w:val="Normal"/>
    <w:uiPriority w:val="34"/>
    <w:qFormat/>
    <w:rsid w:val="00703987"/>
    <w:pPr>
      <w:ind w:left="720"/>
      <w:contextualSpacing/>
    </w:pPr>
  </w:style>
  <w:style w:type="paragraph" w:styleId="NormalWeb">
    <w:name w:val="Normal (Web)"/>
    <w:basedOn w:val="Normal"/>
    <w:uiPriority w:val="99"/>
    <w:semiHidden/>
    <w:unhideWhenUsed/>
    <w:rsid w:val="00A548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7770">
      <w:bodyDiv w:val="1"/>
      <w:marLeft w:val="0"/>
      <w:marRight w:val="0"/>
      <w:marTop w:val="0"/>
      <w:marBottom w:val="0"/>
      <w:divBdr>
        <w:top w:val="none" w:sz="0" w:space="0" w:color="auto"/>
        <w:left w:val="none" w:sz="0" w:space="0" w:color="auto"/>
        <w:bottom w:val="none" w:sz="0" w:space="0" w:color="auto"/>
        <w:right w:val="none" w:sz="0" w:space="0" w:color="auto"/>
      </w:divBdr>
    </w:div>
    <w:div w:id="187060222">
      <w:bodyDiv w:val="1"/>
      <w:marLeft w:val="0"/>
      <w:marRight w:val="0"/>
      <w:marTop w:val="0"/>
      <w:marBottom w:val="0"/>
      <w:divBdr>
        <w:top w:val="none" w:sz="0" w:space="0" w:color="auto"/>
        <w:left w:val="none" w:sz="0" w:space="0" w:color="auto"/>
        <w:bottom w:val="none" w:sz="0" w:space="0" w:color="auto"/>
        <w:right w:val="none" w:sz="0" w:space="0" w:color="auto"/>
      </w:divBdr>
    </w:div>
    <w:div w:id="487940782">
      <w:bodyDiv w:val="1"/>
      <w:marLeft w:val="0"/>
      <w:marRight w:val="0"/>
      <w:marTop w:val="0"/>
      <w:marBottom w:val="0"/>
      <w:divBdr>
        <w:top w:val="none" w:sz="0" w:space="0" w:color="auto"/>
        <w:left w:val="none" w:sz="0" w:space="0" w:color="auto"/>
        <w:bottom w:val="none" w:sz="0" w:space="0" w:color="auto"/>
        <w:right w:val="none" w:sz="0" w:space="0" w:color="auto"/>
      </w:divBdr>
    </w:div>
    <w:div w:id="569388776">
      <w:bodyDiv w:val="1"/>
      <w:marLeft w:val="0"/>
      <w:marRight w:val="0"/>
      <w:marTop w:val="0"/>
      <w:marBottom w:val="0"/>
      <w:divBdr>
        <w:top w:val="none" w:sz="0" w:space="0" w:color="auto"/>
        <w:left w:val="none" w:sz="0" w:space="0" w:color="auto"/>
        <w:bottom w:val="none" w:sz="0" w:space="0" w:color="auto"/>
        <w:right w:val="none" w:sz="0" w:space="0" w:color="auto"/>
      </w:divBdr>
    </w:div>
    <w:div w:id="1473794498">
      <w:bodyDiv w:val="1"/>
      <w:marLeft w:val="0"/>
      <w:marRight w:val="0"/>
      <w:marTop w:val="0"/>
      <w:marBottom w:val="0"/>
      <w:divBdr>
        <w:top w:val="none" w:sz="0" w:space="0" w:color="auto"/>
        <w:left w:val="none" w:sz="0" w:space="0" w:color="auto"/>
        <w:bottom w:val="none" w:sz="0" w:space="0" w:color="auto"/>
        <w:right w:val="none" w:sz="0" w:space="0" w:color="auto"/>
      </w:divBdr>
    </w:div>
    <w:div w:id="15966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A65FJVFR3NAS-1820456951-8243</_dlc_DocId>
    <_dlc_DocIdUrl xmlns="fe5c55e1-1529-428c-8c16-ada3460a0e7a">
      <Url>http://tame/_layouts/15/DocIdRedir.aspx?ID=A65FJVFR3NAS-1820456951-8243</Url>
      <Description>A65FJVFR3NAS-1820456951-8243</Description>
    </_dlc_DocIdUrl>
  </documentManagement>
</p:properties>
</file>

<file path=customXml/itemProps1.xml><?xml version="1.0" encoding="utf-8"?>
<ds:datastoreItem xmlns:ds="http://schemas.openxmlformats.org/officeDocument/2006/customXml" ds:itemID="{E4284050-0517-40EC-9AF1-D17FE06C6A32}"/>
</file>

<file path=customXml/itemProps2.xml><?xml version="1.0" encoding="utf-8"?>
<ds:datastoreItem xmlns:ds="http://schemas.openxmlformats.org/officeDocument/2006/customXml" ds:itemID="{38FBC93F-636C-4303-83FB-EFB8DBCF6D27}"/>
</file>

<file path=customXml/itemProps3.xml><?xml version="1.0" encoding="utf-8"?>
<ds:datastoreItem xmlns:ds="http://schemas.openxmlformats.org/officeDocument/2006/customXml" ds:itemID="{91137D44-B030-4453-840C-407B0BE65BB9}"/>
</file>

<file path=customXml/itemProps4.xml><?xml version="1.0" encoding="utf-8"?>
<ds:datastoreItem xmlns:ds="http://schemas.openxmlformats.org/officeDocument/2006/customXml" ds:itemID="{1F4205AB-C634-49BD-8B02-525DDE2F07CF}"/>
</file>

<file path=docProps/app.xml><?xml version="1.0" encoding="utf-8"?>
<Properties xmlns="http://schemas.openxmlformats.org/officeDocument/2006/extended-properties" xmlns:vt="http://schemas.openxmlformats.org/officeDocument/2006/docPropsVTypes">
  <Template>Normal</Template>
  <TotalTime>21</TotalTime>
  <Pages>3</Pages>
  <Words>967</Words>
  <Characters>5321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Alba Lucia Triana Cortes</dc:creator>
  <cp:lastModifiedBy>William Andres Castano Espana</cp:lastModifiedBy>
  <cp:revision>4</cp:revision>
  <cp:lastPrinted>2021-04-23T00:59:00Z</cp:lastPrinted>
  <dcterms:created xsi:type="dcterms:W3CDTF">2021-04-22T23:47:00Z</dcterms:created>
  <dcterms:modified xsi:type="dcterms:W3CDTF">2021-04-23T01:04:00Z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0f735602-b1f6-4bf8-8bcd-ad65c0bd810a</vt:lpwstr>
  </property>
</Properties>
</file>